
<file path=[Content_Types].xml><?xml version="1.0" encoding="utf-8"?>
<Types xmlns="http://schemas.openxmlformats.org/package/2006/content-types">
  <Default Extension="fntdata" ContentType="application/x-fontdata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header3.xml" ContentType="application/vnd.openxmlformats-officedocument.wordprocessingml.header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32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9.odttf" ContentType="application/vnd.openxmlformats-officedocument.obfuscatedFont"/>
  <Override PartName="/word/fonts/font12.odttf" ContentType="application/vnd.openxmlformats-officedocument.obfuscatedFont"/>
  <Override PartName="/word/fonts/font28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23.odttf" ContentType="application/vnd.openxmlformats-officedocument.obfuscatedFont"/>
  <Override PartName="/word/fonts/font18.odttf" ContentType="application/vnd.openxmlformats-officedocument.obfuscatedFont"/>
  <Override PartName="/word/fonts/font22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4.odttf" ContentType="application/vnd.openxmlformats-officedocument.obfuscatedFont"/>
  <Override PartName="/word/fonts/font25.odttf" ContentType="application/vnd.openxmlformats-officedocument.obfuscatedFont"/>
  <Override PartName="/word/fonts/font26.odttf" ContentType="application/vnd.openxmlformats-officedocument.obfuscatedFont"/>
  <Override PartName="/word/fonts/font27.odttf" ContentType="application/vnd.openxmlformats-officedocument.obfuscatedFont"/>
  <Override PartName="/word/fonts/font30.odttf" ContentType="application/vnd.openxmlformats-officedocument.obfuscatedFont"/>
  <Override PartName="/word/fonts/font31.odttf" ContentType="application/vnd.openxmlformats-officedocument.obfuscatedFont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docProps/custom.xml" ContentType="application/vnd.openxmlformats-officedocument.custom-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ind w:end="20"/>
        <w:jc w:val="both"/>
        <w:rPr>
          <w:rFonts w:ascii="Arial" w:hAnsi="Arial" w:eastAsia="Arial" w:cs="Arial"/>
          <w:color w:val="000000"/>
          <w:sz w:val="20"/>
          <w:szCs w:val="20"/>
        </w:rPr>
      </w:pPr>
      <w:r>
        <w:rPr>
          <w:rFonts w:eastAsia="Arial" w:cs="Arial" w:ascii="Arial" w:hAnsi="Arial"/>
          <w:color w:val="000000"/>
          <w:sz w:val="20"/>
          <w:szCs w:val="20"/>
        </w:rPr>
      </w:r>
    </w:p>
    <w:p>
      <w:pPr>
        <w:pStyle w:val="Normal"/>
        <w:ind w:end="20"/>
        <w:jc w:val="end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Piotrków Trybunalski, 02.02.2026 r.</w:t>
      </w:r>
    </w:p>
    <w:p>
      <w:pPr>
        <w:pStyle w:val="Title"/>
        <w:jc w:val="center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</w:r>
    </w:p>
    <w:p>
      <w:pPr>
        <w:pStyle w:val="Normal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</w:r>
    </w:p>
    <w:p>
      <w:pPr>
        <w:pStyle w:val="Normal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</w:r>
    </w:p>
    <w:p>
      <w:pPr>
        <w:pStyle w:val="Title"/>
        <w:spacing w:lineRule="auto" w:line="360"/>
        <w:jc w:val="center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 xml:space="preserve">ZAPYTANIE OFERTOWE  </w:t>
      </w:r>
    </w:p>
    <w:p>
      <w:pPr>
        <w:pStyle w:val="Normal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</w:r>
    </w:p>
    <w:p>
      <w:pPr>
        <w:pStyle w:val="Normal"/>
        <w:spacing w:lineRule="auto" w:line="360"/>
        <w:jc w:val="both"/>
        <w:rPr>
          <w:rFonts w:ascii="Arial" w:hAnsi="Arial" w:eastAsia="Arial" w:cs="Arial"/>
          <w:b/>
          <w:bCs/>
          <w:sz w:val="22"/>
          <w:szCs w:val="22"/>
        </w:rPr>
      </w:pPr>
      <w:bookmarkStart w:id="0" w:name="_otg4nvesbx3g"/>
      <w:bookmarkEnd w:id="0"/>
      <w:r>
        <w:rPr>
          <w:rFonts w:eastAsia="Arial" w:cs="Arial" w:ascii="Arial" w:hAnsi="Arial"/>
          <w:b/>
          <w:bCs/>
          <w:color w:val="222222"/>
          <w:sz w:val="22"/>
          <w:szCs w:val="22"/>
          <w:highlight w:val="white"/>
        </w:rPr>
        <w:t>ZAKUP I DOSTAWA SPRZĘTÓW I POMOCY DYDAKTYCZNYCH</w:t>
      </w:r>
      <w:r>
        <w:rPr>
          <w:rFonts w:eastAsia="Arial" w:cs="Arial" w:ascii="Arial" w:hAnsi="Arial"/>
          <w:color w:val="222222"/>
          <w:sz w:val="22"/>
          <w:szCs w:val="22"/>
          <w:highlight w:val="white"/>
        </w:rPr>
        <w:t xml:space="preserve">, dla </w:t>
      </w:r>
      <w:r>
        <w:rPr>
          <w:rFonts w:eastAsia="Arial" w:cs="Arial" w:ascii="Arial" w:hAnsi="Arial"/>
          <w:sz w:val="22"/>
          <w:szCs w:val="22"/>
        </w:rPr>
        <w:t xml:space="preserve">projektu nr FELD.08.07-IZ.00-0107/25-00 pn. </w:t>
      </w:r>
      <w:r>
        <w:rPr>
          <w:rFonts w:eastAsia="Arial" w:cs="Arial" w:ascii="Arial" w:hAnsi="Arial"/>
          <w:b/>
          <w:bCs/>
          <w:sz w:val="22"/>
          <w:szCs w:val="22"/>
        </w:rPr>
        <w:t>„</w:t>
      </w:r>
      <w:r>
        <w:rPr>
          <w:rFonts w:eastAsia="Arial" w:cs="Arial" w:ascii="Arial" w:hAnsi="Arial"/>
          <w:color w:val="000000"/>
          <w:sz w:val="22"/>
          <w:szCs w:val="22"/>
        </w:rPr>
        <w:t>Rozwijamy kompetencje kluczowe - równamy szanse - szkoła podstawowa przyszłości</w:t>
      </w:r>
      <w:r>
        <w:rPr>
          <w:rFonts w:eastAsia="Arial" w:cs="Arial" w:ascii="Arial" w:hAnsi="Arial"/>
          <w:b/>
          <w:bCs/>
          <w:sz w:val="22"/>
          <w:szCs w:val="22"/>
        </w:rPr>
        <w:t>”</w:t>
      </w:r>
      <w:r>
        <w:rPr>
          <w:rFonts w:eastAsia="Arial" w:cs="Arial" w:ascii="Arial" w:hAnsi="Arial"/>
          <w:sz w:val="22"/>
          <w:szCs w:val="22"/>
        </w:rPr>
        <w:t xml:space="preserve"> dofinansowanego w ramach:</w:t>
      </w:r>
    </w:p>
    <w:p>
      <w:pPr>
        <w:pStyle w:val="Normal"/>
        <w:spacing w:lineRule="auto" w:line="360"/>
        <w:jc w:val="both"/>
        <w:rPr>
          <w:rFonts w:ascii="Arial" w:hAnsi="Arial" w:eastAsia="Arial" w:cs="Arial"/>
          <w:b/>
          <w:bCs/>
          <w:color w:val="222222"/>
          <w:sz w:val="22"/>
          <w:szCs w:val="22"/>
          <w:highlight w:val="white"/>
        </w:rPr>
      </w:pPr>
      <w:r>
        <w:rPr>
          <w:rFonts w:eastAsia="Arial" w:cs="Arial" w:ascii="Arial" w:hAnsi="Arial"/>
          <w:b/>
          <w:bCs/>
          <w:sz w:val="22"/>
          <w:szCs w:val="22"/>
        </w:rPr>
        <w:t>Numer i nazwa Priorytetu: 8.</w:t>
      </w:r>
      <w:r>
        <w:rPr>
          <w:rFonts w:eastAsia="Arial" w:cs="Arial" w:ascii="Arial" w:hAnsi="Arial"/>
          <w:sz w:val="22"/>
          <w:szCs w:val="22"/>
        </w:rPr>
        <w:t xml:space="preserve"> Fundusze europejskie dla edukacji i kadr w Łódzkiem</w:t>
      </w:r>
    </w:p>
    <w:p>
      <w:pPr>
        <w:pStyle w:val="Normal"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b/>
          <w:bCs/>
          <w:sz w:val="22"/>
          <w:szCs w:val="22"/>
        </w:rPr>
        <w:t>Numer i nazwa Działania:</w:t>
      </w:r>
      <w:r>
        <w:rPr>
          <w:rFonts w:eastAsia="Arial" w:cs="Arial" w:ascii="Arial" w:hAnsi="Arial"/>
          <w:sz w:val="22"/>
          <w:szCs w:val="22"/>
        </w:rPr>
        <w:t xml:space="preserve"> FELD.08.07 Kształcenie ogólne</w:t>
      </w:r>
      <w:bookmarkStart w:id="1" w:name="_pocpsxy0bspw"/>
      <w:bookmarkEnd w:id="1"/>
      <w:r>
        <w:rPr>
          <w:rFonts w:eastAsia="Arial" w:cs="Arial" w:ascii="Arial" w:hAnsi="Arial"/>
          <w:sz w:val="22"/>
          <w:szCs w:val="22"/>
        </w:rPr>
        <w:t xml:space="preserve"> </w:t>
        <w:br/>
      </w:r>
      <w:r>
        <w:rPr>
          <w:rFonts w:eastAsia="Arial" w:cs="Arial" w:ascii="Arial" w:hAnsi="Arial"/>
          <w:b/>
          <w:bCs/>
          <w:sz w:val="22"/>
          <w:szCs w:val="22"/>
        </w:rPr>
        <w:t xml:space="preserve">Współfinansowanego ze środków Europejskiego Funduszu Społecznego Plus </w:t>
        <w:br/>
        <w:t>w ramach Programu Regionalnego Fundusze Europejskie dla Łódzkiego 2021-2027</w:t>
      </w:r>
    </w:p>
    <w:p>
      <w:pPr>
        <w:pStyle w:val="Normal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</w:r>
    </w:p>
    <w:p>
      <w:pPr>
        <w:pStyle w:val="Normal"/>
        <w:numPr>
          <w:ilvl w:val="0"/>
          <w:numId w:val="7"/>
        </w:numPr>
        <w:pBdr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>Nazwa i adres Zamawiającego</w:t>
      </w:r>
    </w:p>
    <w:p>
      <w:pPr>
        <w:pStyle w:val="Normal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</w:r>
    </w:p>
    <w:p>
      <w:pPr>
        <w:pStyle w:val="Normal"/>
        <w:spacing w:lineRule="auto" w:line="276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bookmarkStart w:id="2" w:name="_bkgvr1tgc057"/>
      <w:bookmarkEnd w:id="2"/>
      <w:r>
        <w:rPr>
          <w:rFonts w:eastAsia="Arial" w:cs="Arial" w:ascii="Arial" w:hAnsi="Arial"/>
          <w:b/>
          <w:bCs/>
          <w:color w:val="000000"/>
          <w:sz w:val="22"/>
          <w:szCs w:val="22"/>
        </w:rPr>
        <w:t>ARCHIDIECEZJA ŁÓDZKA UL. KS.HARCMISTRZA IGNACEGO SKORUPKI 1 90-458 ŁÓDŹ z siedzibą w ŁODZI, NIP:7251981714, REGON:040006402</w:t>
      </w:r>
    </w:p>
    <w:p>
      <w:pPr>
        <w:pStyle w:val="Normal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</w:r>
    </w:p>
    <w:p>
      <w:pPr>
        <w:pStyle w:val="Normal"/>
        <w:numPr>
          <w:ilvl w:val="0"/>
          <w:numId w:val="7"/>
        </w:numPr>
        <w:pBdr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>Tryb udzielania zamówienia, podstawa prawna</w:t>
      </w:r>
    </w:p>
    <w:p>
      <w:pPr>
        <w:pStyle w:val="Normal"/>
        <w:pBdr/>
        <w:ind w:start="720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</w:r>
    </w:p>
    <w:p>
      <w:pPr>
        <w:pStyle w:val="Normal"/>
        <w:numPr>
          <w:ilvl w:val="0"/>
          <w:numId w:val="9"/>
        </w:numPr>
        <w:pBdr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Postępowanie jest prowadzone w trybie zapytania ofertowego z zachowaniem zasady konkurencyjności określonej w Wytycznych w zakresie kwalifikowalności wydatków na lata 2021-2027 Ministra Funduszy i Polityki Regionalnej z dnia 14 marca 2025 r. </w:t>
      </w:r>
    </w:p>
    <w:p>
      <w:pPr>
        <w:pStyle w:val="Normal"/>
        <w:numPr>
          <w:ilvl w:val="0"/>
          <w:numId w:val="9"/>
        </w:numPr>
        <w:pBdr/>
        <w:spacing w:lineRule="auto" w:line="312" w:before="60" w:after="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Niniejsze zapytanie ofertowe wraz z załącznikami zostało zamieszczone w Bazie Konkurencyjności (</w:t>
      </w:r>
      <w:hyperlink r:id="rId2">
        <w:r>
          <w:rPr>
            <w:rStyle w:val="Style3"/>
            <w:rFonts w:eastAsia="Arial" w:cs="Arial" w:ascii="Arial" w:hAnsi="Arial"/>
            <w:color w:val="0000FF"/>
            <w:sz w:val="22"/>
            <w:szCs w:val="22"/>
            <w:u w:val="single"/>
          </w:rPr>
          <w:t>https://bazakonkurencyjnosci.funduszeeuropejskie.gov.pl/</w:t>
        </w:r>
      </w:hyperlink>
      <w:r>
        <w:rPr>
          <w:rFonts w:eastAsia="Arial" w:cs="Arial" w:ascii="Arial" w:hAnsi="Arial"/>
          <w:color w:val="000000"/>
          <w:sz w:val="22"/>
          <w:szCs w:val="22"/>
        </w:rPr>
        <w:t>).</w:t>
      </w:r>
    </w:p>
    <w:p>
      <w:pPr>
        <w:pStyle w:val="Normal"/>
        <w:numPr>
          <w:ilvl w:val="0"/>
          <w:numId w:val="9"/>
        </w:numPr>
        <w:pBdr/>
        <w:spacing w:lineRule="auto" w:line="312" w:before="0" w:after="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Komunikacja w postępowaniu o udzielenie niniejszego zamówienia, w tym ogłoszenie zapytania ofertowego, składanie ofert, wymiana informacji między zamawiającym a wykonawcą oraz przekazywanie dokumentów i oświadczeń odbywa się pisemnie za pomocą Bazy Konkurencyjności.</w:t>
      </w:r>
    </w:p>
    <w:p>
      <w:pPr>
        <w:pStyle w:val="Normal"/>
        <w:pBdr/>
        <w:spacing w:lineRule="auto" w:line="276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</w:r>
    </w:p>
    <w:p>
      <w:pPr>
        <w:pStyle w:val="Normal"/>
        <w:numPr>
          <w:ilvl w:val="0"/>
          <w:numId w:val="7"/>
        </w:numPr>
        <w:pBdr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>Opis przedmiotu zamówienia</w:t>
      </w:r>
    </w:p>
    <w:p>
      <w:pPr>
        <w:pStyle w:val="Normal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</w:r>
    </w:p>
    <w:p>
      <w:pPr>
        <w:pStyle w:val="Normal"/>
        <w:numPr>
          <w:ilvl w:val="0"/>
          <w:numId w:val="10"/>
        </w:numPr>
        <w:spacing w:lineRule="auto" w:line="360"/>
        <w:jc w:val="both"/>
        <w:rPr>
          <w:rFonts w:ascii="Arial" w:hAnsi="Arial"/>
          <w:sz w:val="22"/>
          <w:szCs w:val="22"/>
        </w:rPr>
      </w:pPr>
      <w:bookmarkStart w:id="3" w:name="_otg4nvesbx3g_kopia_1"/>
      <w:bookmarkEnd w:id="3"/>
      <w:r>
        <w:rPr>
          <w:rFonts w:ascii="Arial" w:hAnsi="Arial"/>
          <w:b w:val="false"/>
          <w:bCs w:val="false"/>
          <w:color w:val="222222"/>
          <w:sz w:val="22"/>
          <w:szCs w:val="22"/>
          <w:highlight w:val="white"/>
        </w:rPr>
        <w:t>Przedmiotem zamówienia jest:</w:t>
      </w:r>
      <w:r>
        <w:rPr>
          <w:rFonts w:ascii="Arial" w:hAnsi="Arial"/>
          <w:b/>
          <w:bCs/>
          <w:color w:val="222222"/>
          <w:sz w:val="22"/>
          <w:szCs w:val="22"/>
          <w:highlight w:val="white"/>
        </w:rPr>
        <w:t xml:space="preserve"> </w:t>
      </w:r>
      <w:r>
        <w:rPr>
          <w:rFonts w:ascii="Arial" w:hAnsi="Arial"/>
          <w:b/>
          <w:bCs/>
          <w:color w:val="222222"/>
          <w:sz w:val="22"/>
          <w:szCs w:val="22"/>
          <w:highlight w:val="white"/>
        </w:rPr>
        <w:t>ZAKUP I DOSTAWA SPRZĘTÓW I POMOCY DYDAKTYCZNYCH</w:t>
      </w:r>
      <w:r>
        <w:rPr>
          <w:rFonts w:ascii="Arial" w:hAnsi="Arial"/>
          <w:color w:val="222222"/>
          <w:sz w:val="22"/>
          <w:szCs w:val="22"/>
          <w:highlight w:val="white"/>
        </w:rPr>
        <w:t xml:space="preserve">, dla </w:t>
      </w:r>
      <w:r>
        <w:rPr>
          <w:rFonts w:ascii="Arial" w:hAnsi="Arial"/>
          <w:sz w:val="22"/>
          <w:szCs w:val="22"/>
        </w:rPr>
        <w:t xml:space="preserve">projektu nr FELD.08.07-IZ.00-0107/25-00 pn. </w:t>
      </w:r>
      <w:r>
        <w:rPr>
          <w:rFonts w:ascii="Arial" w:hAnsi="Arial"/>
          <w:b/>
          <w:bCs/>
          <w:sz w:val="22"/>
          <w:szCs w:val="22"/>
        </w:rPr>
        <w:t>„</w:t>
      </w:r>
      <w:r>
        <w:rPr>
          <w:rFonts w:ascii="Arial" w:hAnsi="Arial"/>
          <w:sz w:val="22"/>
          <w:szCs w:val="22"/>
        </w:rPr>
        <w:t>Rozwijamy kompetencje kluczowe - równamy szanse - szkoła podstawowa przyszłości</w:t>
      </w:r>
      <w:r>
        <w:rPr>
          <w:rFonts w:ascii="Arial" w:hAnsi="Arial"/>
          <w:b/>
          <w:bCs/>
          <w:sz w:val="22"/>
          <w:szCs w:val="22"/>
        </w:rPr>
        <w:t>”</w:t>
      </w:r>
      <w:r>
        <w:rPr>
          <w:rFonts w:ascii="Arial" w:hAnsi="Arial"/>
          <w:sz w:val="22"/>
          <w:szCs w:val="22"/>
        </w:rPr>
        <w:t xml:space="preserve"> .</w:t>
      </w:r>
    </w:p>
    <w:p>
      <w:pPr>
        <w:pStyle w:val="Normal"/>
        <w:numPr>
          <w:ilvl w:val="0"/>
          <w:numId w:val="10"/>
        </w:numPr>
        <w:pBdr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Nazwy i kody określone we Wspólnym Słowniku Zamówień (CPV): </w:t>
      </w:r>
    </w:p>
    <w:p>
      <w:pPr>
        <w:pStyle w:val="Normal"/>
        <w:numPr>
          <w:ilvl w:val="0"/>
          <w:numId w:val="5"/>
        </w:numPr>
        <w:pBdr/>
        <w:spacing w:lineRule="auto" w:line="360"/>
        <w:ind w:firstLine="414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>30213100-6:</w:t>
      </w:r>
      <w:r>
        <w:rPr>
          <w:rFonts w:eastAsia="Arial" w:cs="Arial" w:ascii="Arial" w:hAnsi="Arial"/>
          <w:color w:val="000000"/>
          <w:sz w:val="22"/>
          <w:szCs w:val="22"/>
        </w:rPr>
        <w:t> Komputery przenośne</w:t>
      </w:r>
    </w:p>
    <w:p>
      <w:pPr>
        <w:pStyle w:val="Normal"/>
        <w:numPr>
          <w:ilvl w:val="0"/>
          <w:numId w:val="5"/>
        </w:numPr>
        <w:pBdr/>
        <w:spacing w:lineRule="auto" w:line="360"/>
        <w:ind w:firstLine="414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>32322000-6</w:t>
      </w:r>
      <w:r>
        <w:rPr>
          <w:rFonts w:eastAsia="Arial" w:cs="Arial" w:ascii="Arial" w:hAnsi="Arial"/>
          <w:color w:val="000000"/>
          <w:sz w:val="22"/>
          <w:szCs w:val="22"/>
        </w:rPr>
        <w:t> : Urządzenia multimedialne</w:t>
      </w:r>
    </w:p>
    <w:p>
      <w:pPr>
        <w:pStyle w:val="Normal"/>
        <w:numPr>
          <w:ilvl w:val="0"/>
          <w:numId w:val="5"/>
        </w:numPr>
        <w:pBdr/>
        <w:spacing w:lineRule="auto" w:line="360"/>
        <w:ind w:firstLine="414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>39162100-6</w:t>
      </w:r>
      <w:r>
        <w:rPr>
          <w:rFonts w:eastAsia="Arial" w:cs="Arial" w:ascii="Arial" w:hAnsi="Arial"/>
          <w:color w:val="000000"/>
          <w:sz w:val="22"/>
          <w:szCs w:val="22"/>
        </w:rPr>
        <w:t>: Pomoce dydaktyczne</w:t>
      </w:r>
    </w:p>
    <w:p>
      <w:pPr>
        <w:pStyle w:val="Normal"/>
        <w:numPr>
          <w:ilvl w:val="0"/>
          <w:numId w:val="5"/>
        </w:numPr>
        <w:pBdr/>
        <w:spacing w:lineRule="auto" w:line="360"/>
        <w:ind w:firstLine="414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>39100000-3</w:t>
      </w:r>
      <w:r>
        <w:rPr>
          <w:rFonts w:eastAsia="Arial" w:cs="Arial" w:ascii="Arial" w:hAnsi="Arial"/>
          <w:color w:val="000000"/>
          <w:sz w:val="22"/>
          <w:szCs w:val="22"/>
        </w:rPr>
        <w:t>: Meble</w:t>
      </w:r>
    </w:p>
    <w:p>
      <w:pPr>
        <w:pStyle w:val="Normal"/>
        <w:numPr>
          <w:ilvl w:val="0"/>
          <w:numId w:val="10"/>
        </w:numPr>
        <w:pBdr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 xml:space="preserve">Zamówienie zostało podzielone na 3 części. </w:t>
      </w:r>
      <w:r>
        <w:rPr>
          <w:rFonts w:eastAsia="Arial" w:cs="Arial" w:ascii="Arial" w:hAnsi="Arial"/>
          <w:color w:val="000000"/>
          <w:sz w:val="22"/>
          <w:szCs w:val="22"/>
        </w:rPr>
        <w:t xml:space="preserve">Szczegółowy opis przedmiotu zamówienia został uwzględniony i opisany w załączniku nr 1 do zapytania ofertowego - OPZ.  </w:t>
      </w:r>
    </w:p>
    <w:p>
      <w:pPr>
        <w:pStyle w:val="Normal"/>
        <w:numPr>
          <w:ilvl w:val="0"/>
          <w:numId w:val="10"/>
        </w:numPr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 xml:space="preserve">Przedmiot zamówienia musi być fabrycznie nowy, wolny od wad fizycznych i prawnych. Żadna część składowa nie może być wcześniej używana, regenerowana ani naprawiana. </w:t>
      </w:r>
    </w:p>
    <w:p>
      <w:pPr>
        <w:pStyle w:val="Normal"/>
        <w:numPr>
          <w:ilvl w:val="0"/>
          <w:numId w:val="10"/>
        </w:numPr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>Wszędzie tam, gdzie w opisie przedmiotu zamówienia (OPZ) wskazano nazwy własne, znaki towarowe, patenty lub pochodzenie materiałów i urządzeń, Zamawiający dopuszcza składanie ofert równoważnych. Przez rozwiązanie równoważne Zamawiający rozumie produkt o parametrach technicznych, funkcjonalnych i jakościowych nie gorszych (nie mniejszych) niż te określone w szczegółowym opisie przedmiotu zamówienia.</w:t>
      </w:r>
    </w:p>
    <w:p>
      <w:pPr>
        <w:pStyle w:val="Normal"/>
        <w:numPr>
          <w:ilvl w:val="0"/>
          <w:numId w:val="10"/>
        </w:numPr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>Wykonawca, który powołuje się na rozwiązania równoważne, jest obowiązany wykazać w treści oferty (np. poprzez dołączenie kart katalogowych, certyfikatów), że oferowane przez niego dostawy spełniają wymagania określone przez Zamawiającego.</w:t>
      </w:r>
    </w:p>
    <w:p>
      <w:pPr>
        <w:pStyle w:val="Normal"/>
        <w:numPr>
          <w:ilvl w:val="0"/>
          <w:numId w:val="10"/>
        </w:numPr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>Zamawiający wymaga od wykonawcy dostarczenia przedmiotu zamówienia łącznie z rozładowaniem, rozpakowaniem, montażem na koszt własny i ryzyko, w godzinach i dniach pracy wskazanych przez Zamawiającego, od poniedziałku do piątku w godzinach 8:00- 16:00.</w:t>
      </w:r>
    </w:p>
    <w:p>
      <w:pPr>
        <w:pStyle w:val="Normal"/>
        <w:numPr>
          <w:ilvl w:val="0"/>
          <w:numId w:val="10"/>
        </w:numPr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>Miejsce realizacji przedmiotu zamówienia: Katolicka Szkoła Podstawowa im. Jana Pawła II w Łódź, ul. Krzysztofa K. Baczyńskiego 156, 91-170 Łódź.</w:t>
      </w:r>
    </w:p>
    <w:p>
      <w:pPr>
        <w:pStyle w:val="Normal"/>
        <w:pBdr/>
        <w:spacing w:lineRule="auto" w:line="360"/>
        <w:ind w:start="72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</w:r>
    </w:p>
    <w:p>
      <w:pPr>
        <w:pStyle w:val="Heading2"/>
        <w:numPr>
          <w:ilvl w:val="0"/>
          <w:numId w:val="7"/>
        </w:numPr>
        <w:spacing w:lineRule="auto" w:line="240" w:before="0" w:after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Warunki udziału w postępowaniu oraz sposób dokonywania ich oceny ich spełnienia</w:t>
      </w:r>
    </w:p>
    <w:p>
      <w:pPr>
        <w:pStyle w:val="Normal"/>
        <w:spacing w:lineRule="auto" w:line="360"/>
        <w:jc w:val="both"/>
        <w:rPr>
          <w:rFonts w:ascii="Arial" w:hAnsi="Arial" w:eastAsia="Arial" w:cs="Arial"/>
          <w:b/>
          <w:bCs/>
          <w:color w:val="EE0000"/>
          <w:sz w:val="22"/>
          <w:szCs w:val="22"/>
          <w:u w:val="single"/>
        </w:rPr>
      </w:pPr>
      <w:r>
        <w:rPr>
          <w:rFonts w:eastAsia="Arial" w:cs="Arial" w:ascii="Arial" w:hAnsi="Arial"/>
          <w:b/>
          <w:bCs/>
          <w:color w:val="EE0000"/>
          <w:sz w:val="22"/>
          <w:szCs w:val="22"/>
          <w:u w:val="single"/>
        </w:rPr>
      </w:r>
    </w:p>
    <w:p>
      <w:pPr>
        <w:pStyle w:val="Normal"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O udzielenie zamówienia mogą ubiegać się Wykonawcy, którzy spełniają określone poniżej warunki udziału w </w:t>
      </w:r>
      <w:r>
        <w:rPr>
          <w:rFonts w:eastAsia="Arial" w:cs="Arial" w:ascii="Arial" w:hAnsi="Arial"/>
          <w:sz w:val="22"/>
          <w:szCs w:val="22"/>
        </w:rPr>
        <w:t>postępowaniu</w:t>
      </w:r>
      <w:r>
        <w:rPr>
          <w:rFonts w:eastAsia="Arial" w:cs="Arial" w:ascii="Arial" w:hAnsi="Arial"/>
          <w:color w:val="000000"/>
          <w:sz w:val="22"/>
          <w:szCs w:val="22"/>
        </w:rPr>
        <w:t xml:space="preserve"> w zakresie: </w:t>
      </w:r>
    </w:p>
    <w:p>
      <w:pPr>
        <w:pStyle w:val="Normal"/>
        <w:numPr>
          <w:ilvl w:val="0"/>
          <w:numId w:val="16"/>
        </w:numPr>
        <w:pBdr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  <w:u w:val="single"/>
        </w:rPr>
        <w:t>Zdolność techniczna lub zawodowa:</w:t>
      </w:r>
    </w:p>
    <w:p>
      <w:pPr>
        <w:pStyle w:val="Normal"/>
        <w:pBdr/>
        <w:spacing w:lineRule="auto" w:line="360"/>
        <w:jc w:val="both"/>
        <w:rPr>
          <w:rFonts w:ascii="Arial" w:hAnsi="Arial" w:eastAsia="Arial" w:cs="Arial"/>
          <w:b/>
          <w:bCs/>
          <w:sz w:val="22"/>
          <w:szCs w:val="22"/>
        </w:rPr>
      </w:pPr>
      <w:r>
        <w:rPr>
          <w:rFonts w:eastAsia="Arial" w:cs="Arial" w:ascii="Arial" w:hAnsi="Arial"/>
          <w:b/>
          <w:bCs/>
          <w:sz w:val="22"/>
          <w:szCs w:val="22"/>
        </w:rPr>
        <w:t>Dla części I:</w:t>
      </w:r>
    </w:p>
    <w:p>
      <w:pPr>
        <w:pStyle w:val="Normal"/>
        <w:spacing w:lineRule="auto" w:line="360"/>
        <w:jc w:val="both"/>
        <w:rPr>
          <w:rFonts w:ascii="Arial" w:hAnsi="Arial" w:eastAsia="Arial" w:cs="Arial"/>
          <w:sz w:val="22"/>
          <w:szCs w:val="22"/>
          <w:u w:val="single"/>
        </w:rPr>
      </w:pPr>
      <w:r>
        <w:rPr>
          <w:rFonts w:eastAsia="Arial" w:cs="Arial" w:ascii="Arial" w:hAnsi="Arial"/>
          <w:sz w:val="22"/>
          <w:szCs w:val="22"/>
        </w:rPr>
        <w:t xml:space="preserve">W celu potwierdzenia minimalnych zdolności technicznych i zawodowych, Wykonawcy winni udokumentować: należyte wykonanie dostaw w okresie ostatnich trzech lat przed upływem terminu składania ofert, a jeżeli okres prowadzenia działalności jest krótszy – w tym okresie - jednego zamówienia obejmującego swoim zakresem dostawę mebli o wartości </w:t>
      </w:r>
      <w:r>
        <w:rPr>
          <w:rFonts w:eastAsia="Arial" w:cs="Arial" w:ascii="Arial" w:hAnsi="Arial"/>
          <w:sz w:val="22"/>
          <w:szCs w:val="22"/>
          <w:u w:val="single"/>
        </w:rPr>
        <w:t>co najmniej 4</w:t>
      </w:r>
      <w:r>
        <w:rPr>
          <w:rFonts w:eastAsia="Arial" w:cs="Arial" w:ascii="Arial" w:hAnsi="Arial"/>
          <w:sz w:val="22"/>
          <w:szCs w:val="22"/>
          <w:u w:val="single"/>
        </w:rPr>
        <w:t>5</w:t>
      </w:r>
      <w:r>
        <w:rPr>
          <w:rFonts w:eastAsia="Arial" w:cs="Arial" w:ascii="Arial" w:hAnsi="Arial"/>
          <w:sz w:val="22"/>
          <w:szCs w:val="22"/>
          <w:u w:val="single"/>
        </w:rPr>
        <w:t xml:space="preserve"> tys. zł brutto. </w:t>
      </w:r>
    </w:p>
    <w:p>
      <w:pPr>
        <w:pStyle w:val="Normal"/>
        <w:pBdr/>
        <w:spacing w:lineRule="auto" w:line="360"/>
        <w:ind w:start="349"/>
        <w:jc w:val="both"/>
        <w:rPr>
          <w:rFonts w:ascii="Arial" w:hAnsi="Arial" w:eastAsia="Arial" w:cs="Arial"/>
          <w:b/>
          <w:bCs/>
          <w:sz w:val="22"/>
          <w:szCs w:val="22"/>
        </w:rPr>
      </w:pPr>
      <w:r>
        <w:rPr>
          <w:rFonts w:eastAsia="Arial" w:cs="Arial" w:ascii="Arial" w:hAnsi="Arial"/>
          <w:b/>
          <w:bCs/>
          <w:sz w:val="22"/>
          <w:szCs w:val="22"/>
        </w:rPr>
      </w:r>
    </w:p>
    <w:p>
      <w:pPr>
        <w:pStyle w:val="Normal"/>
        <w:pBdr/>
        <w:spacing w:lineRule="auto" w:line="360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sz w:val="22"/>
          <w:szCs w:val="22"/>
        </w:rPr>
      </w:r>
    </w:p>
    <w:p>
      <w:pPr>
        <w:pStyle w:val="Normal"/>
        <w:pBdr/>
        <w:spacing w:lineRule="auto" w:line="360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sz w:val="22"/>
          <w:szCs w:val="22"/>
        </w:rPr>
      </w:r>
    </w:p>
    <w:p>
      <w:pPr>
        <w:pStyle w:val="Normal"/>
        <w:pBdr/>
        <w:spacing w:lineRule="auto" w:line="360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sz w:val="22"/>
          <w:szCs w:val="22"/>
        </w:rPr>
        <w:t>Dla części II:</w:t>
      </w:r>
    </w:p>
    <w:p>
      <w:pPr>
        <w:pStyle w:val="Normal"/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 xml:space="preserve">W celu potwierdzenia minimalnych zdolności technicznych i zawodowych, Wykonawcy winni udokumentować: należyte wykonanie usług w okresie ostatnich trzech lat przed upływem terminu składania ofert, a jeżeli okres prowadzenia działalności jest krótszy – w tym okresie - jednego zamówienia obejmującego swoim zakresem dostawę pomocy dydaktycznych </w:t>
      </w:r>
      <w:r>
        <w:rPr>
          <w:rFonts w:eastAsia="Arial" w:cs="Arial" w:ascii="Arial" w:hAnsi="Arial"/>
          <w:sz w:val="22"/>
          <w:szCs w:val="22"/>
          <w:u w:val="single"/>
        </w:rPr>
        <w:t>co najmniej 110 tys. zł</w:t>
      </w:r>
      <w:r>
        <w:rPr>
          <w:rFonts w:eastAsia="Arial" w:cs="Arial" w:ascii="Arial" w:hAnsi="Arial"/>
          <w:sz w:val="22"/>
          <w:szCs w:val="22"/>
        </w:rPr>
        <w:t xml:space="preserve"> brutto.</w:t>
      </w:r>
    </w:p>
    <w:p>
      <w:pPr>
        <w:pStyle w:val="Normal"/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>.</w:t>
      </w:r>
    </w:p>
    <w:p>
      <w:pPr>
        <w:pStyle w:val="Normal"/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b/>
          <w:bCs/>
          <w:sz w:val="22"/>
          <w:szCs w:val="22"/>
        </w:rPr>
        <w:t>Dla części III:</w:t>
      </w:r>
    </w:p>
    <w:p>
      <w:pPr>
        <w:pStyle w:val="Normal"/>
        <w:pBdr/>
        <w:spacing w:lineRule="auto" w:line="360"/>
        <w:jc w:val="both"/>
        <w:rPr>
          <w:rFonts w:ascii="Arial" w:hAnsi="Arial" w:eastAsia="Arial" w:cs="Arial"/>
          <w:b/>
          <w:bCs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 xml:space="preserve">W celu potwierdzenia minimalnych zdolności technicznych i zawodowych, Wykonawcy winni udokumentować: należyte wykonanie usług w okresie ostatnich trzech lat przed upływem terminu składania ofert, a jeżeli okres prowadzenia działalności jest krótszy – w tym okresie - jednego zamówienia obejmującego swoim zakresem dostawę sprzętu komputerowego </w:t>
      </w:r>
      <w:r>
        <w:rPr>
          <w:rFonts w:eastAsia="Arial" w:cs="Arial" w:ascii="Arial" w:hAnsi="Arial"/>
          <w:sz w:val="22"/>
          <w:szCs w:val="22"/>
          <w:u w:val="single"/>
        </w:rPr>
        <w:t>co najmniej 50 tys. zł</w:t>
      </w:r>
      <w:r>
        <w:rPr>
          <w:rFonts w:eastAsia="Arial" w:cs="Arial" w:ascii="Arial" w:hAnsi="Arial"/>
          <w:sz w:val="22"/>
          <w:szCs w:val="22"/>
        </w:rPr>
        <w:t xml:space="preserve"> brutto       </w:t>
      </w:r>
    </w:p>
    <w:p>
      <w:pPr>
        <w:pStyle w:val="Normal"/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</w:r>
    </w:p>
    <w:p>
      <w:pPr>
        <w:pStyle w:val="Normal"/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>Do oferty należy złożyć wykaz dostaw= załącznik nr 4 dla każdej z części, wraz z podaniem ich wartości, przedmiotu, dat wykonania i podmiotów, na rzecz których usługi zostały wykonane, oraz załączeniem dowodów określających, czy te usługi zostały wykonane należycie, przy czym dowodami, o których mowa, są referencje bądź inne dokumenty sporządzone przez podmiot, na rzecz którego usługi zostały wykonane, a jeżeli wykonawca z przyczyn niezależnych od niego nie jest w stanie uzyskać tych dokumentów – oświadczenie wykonawcy.</w:t>
      </w:r>
      <w:bookmarkStart w:id="4" w:name="_ra402tv4vqap"/>
      <w:bookmarkEnd w:id="4"/>
    </w:p>
    <w:p>
      <w:pPr>
        <w:pStyle w:val="Normal"/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</w:r>
    </w:p>
    <w:p>
      <w:pPr>
        <w:pStyle w:val="Normal"/>
        <w:numPr>
          <w:ilvl w:val="0"/>
          <w:numId w:val="7"/>
        </w:numPr>
        <w:pBdr/>
        <w:spacing w:lineRule="auto" w:line="360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 xml:space="preserve">Termin wykonania zamówienia: </w:t>
      </w:r>
    </w:p>
    <w:p>
      <w:pPr>
        <w:pStyle w:val="Normal"/>
        <w:numPr>
          <w:ilvl w:val="0"/>
          <w:numId w:val="8"/>
        </w:numPr>
        <w:pBdr/>
        <w:spacing w:lineRule="auto" w:line="360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Termin </w:t>
      </w:r>
      <w:r>
        <w:rPr>
          <w:rFonts w:eastAsia="Arial" w:cs="Arial" w:ascii="Arial" w:hAnsi="Arial"/>
          <w:sz w:val="22"/>
          <w:szCs w:val="22"/>
        </w:rPr>
        <w:t>wykonania zamówienia ustala się na 14 dni od dnia zawarcia umowy.</w:t>
      </w:r>
    </w:p>
    <w:p>
      <w:pPr>
        <w:pStyle w:val="Normal"/>
        <w:pBdr/>
        <w:spacing w:lineRule="auto" w:line="360"/>
        <w:ind w:start="720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 xml:space="preserve">     </w:t>
      </w:r>
    </w:p>
    <w:p>
      <w:pPr>
        <w:pStyle w:val="Normal"/>
        <w:numPr>
          <w:ilvl w:val="0"/>
          <w:numId w:val="7"/>
        </w:numPr>
        <w:pBdr/>
        <w:spacing w:lineRule="auto" w:line="360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>Wykluczenie z postępowania informacja na temat zakazu konfliktu interesów</w:t>
      </w:r>
    </w:p>
    <w:p>
      <w:pPr>
        <w:pStyle w:val="Normal"/>
        <w:numPr>
          <w:ilvl w:val="0"/>
          <w:numId w:val="2"/>
        </w:numPr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>O udzielenie zamówienia nie mogą ubiegać się:</w:t>
      </w:r>
    </w:p>
    <w:p>
      <w:pPr>
        <w:pStyle w:val="Normal"/>
        <w:numPr>
          <w:ilvl w:val="0"/>
          <w:numId w:val="21"/>
        </w:numPr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 xml:space="preserve">podmioty/osoby, które zostały objęte sankcjami, o których mowa w art. 7 ustawy z dnia 13.04.2022 r. o szczególnych rozwiązaniach w zakresie przeciwdziałania wspieraniu agresji na Ukrainę oraz służących ochronie bezpieczeństwa narodowego. Weryfikacja dokonana będzie przez Zamawiającego na podstawie rejestru dostępnego na stronie </w:t>
      </w:r>
      <w:hyperlink r:id="rId3">
        <w:r>
          <w:rPr>
            <w:rStyle w:val="Style3"/>
            <w:rFonts w:eastAsia="Arial" w:cs="Arial" w:ascii="Arial" w:hAnsi="Arial"/>
            <w:color w:val="1155CC"/>
            <w:sz w:val="22"/>
            <w:szCs w:val="22"/>
            <w:u w:val="single"/>
          </w:rPr>
          <w:t>https://www.gov.pl/web/mswia/lista-osob-i-podmiotow-objetychsankcjami</w:t>
        </w:r>
      </w:hyperlink>
      <w:r>
        <w:rPr>
          <w:rFonts w:eastAsia="Arial" w:cs="Arial" w:ascii="Arial" w:hAnsi="Arial"/>
          <w:sz w:val="22"/>
          <w:szCs w:val="22"/>
        </w:rPr>
        <w:t>.</w:t>
      </w:r>
    </w:p>
    <w:p>
      <w:pPr>
        <w:pStyle w:val="Normal"/>
        <w:numPr>
          <w:ilvl w:val="0"/>
          <w:numId w:val="21"/>
        </w:numPr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>podmioty powiązane kapitałowo lub osobowo z zamawiającym. Powiązanie polega na:</w:t>
      </w:r>
    </w:p>
    <w:p>
      <w:pPr>
        <w:pStyle w:val="Normal"/>
        <w:numPr>
          <w:ilvl w:val="0"/>
          <w:numId w:val="1"/>
        </w:numPr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 xml:space="preserve">uczestniczeniu w spółce jako wspólnik spółki cywilnej lub spółki osobowej, posiadaniu co najmniej 10% udziałów lub akcji (o ile niższy próg nie wynika z przepisów prawa), pełnieniu funkcji członka organu nadzorczego lub zarządzającego, prokurenta, pełnomocnika, </w:t>
      </w:r>
    </w:p>
    <w:p>
      <w:pPr>
        <w:pStyle w:val="Normal"/>
        <w:numPr>
          <w:ilvl w:val="0"/>
          <w:numId w:val="1"/>
        </w:numPr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 </w:t>
      </w:r>
    </w:p>
    <w:p>
      <w:pPr>
        <w:pStyle w:val="Normal"/>
        <w:numPr>
          <w:ilvl w:val="0"/>
          <w:numId w:val="1"/>
        </w:numPr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>pozostawaniu z wykonawcą w takim stosunku prawnym lub faktycznym, że istnieje uzasadniona wątpliwość co do ich bezstronności lub niezależności w związku z postępowaniem o udzielenie zamówienia.</w:t>
      </w:r>
    </w:p>
    <w:p>
      <w:pPr>
        <w:pStyle w:val="Normal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</w:r>
    </w:p>
    <w:p>
      <w:pPr>
        <w:pStyle w:val="Normal"/>
        <w:numPr>
          <w:ilvl w:val="0"/>
          <w:numId w:val="6"/>
        </w:numPr>
        <w:pBdr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Ofertę Wykonawcy wykluczonego uważa się za odrzuconą.</w:t>
      </w:r>
    </w:p>
    <w:p>
      <w:pPr>
        <w:pStyle w:val="Normal"/>
        <w:numPr>
          <w:ilvl w:val="0"/>
          <w:numId w:val="6"/>
        </w:numPr>
        <w:pBdr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Zamawiający odrzuca Ofertę, jeżeli: </w:t>
      </w:r>
    </w:p>
    <w:p>
      <w:pPr>
        <w:pStyle w:val="Normal"/>
        <w:numPr>
          <w:ilvl w:val="2"/>
          <w:numId w:val="19"/>
        </w:numPr>
        <w:pBdr/>
        <w:spacing w:lineRule="auto" w:line="360"/>
        <w:ind w:hanging="283" w:start="1276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jej treść nie odpowiada treści Zapytania ofertowego;</w:t>
      </w:r>
    </w:p>
    <w:p>
      <w:pPr>
        <w:pStyle w:val="Normal"/>
        <w:numPr>
          <w:ilvl w:val="2"/>
          <w:numId w:val="19"/>
        </w:numPr>
        <w:pBdr/>
        <w:spacing w:lineRule="auto" w:line="360"/>
        <w:ind w:hanging="283" w:start="1276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jej złożenie stanowi czyn nieuczciwej konkurencji w rozumieniu przepisów o zwalczaniu nieuczciwej konkurencyjności;</w:t>
      </w:r>
    </w:p>
    <w:p>
      <w:pPr>
        <w:pStyle w:val="Normal"/>
        <w:numPr>
          <w:ilvl w:val="2"/>
          <w:numId w:val="19"/>
        </w:numPr>
        <w:pBdr/>
        <w:spacing w:lineRule="auto" w:line="360"/>
        <w:ind w:hanging="283" w:start="1276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zawiera rażąco niską cenę w stosunku do przedmiotu zamówienia, w rozumieniu pkt 3 ; </w:t>
      </w:r>
    </w:p>
    <w:p>
      <w:pPr>
        <w:pStyle w:val="Normal"/>
        <w:numPr>
          <w:ilvl w:val="2"/>
          <w:numId w:val="19"/>
        </w:numPr>
        <w:pBdr/>
        <w:spacing w:lineRule="auto" w:line="360"/>
        <w:ind w:hanging="283" w:start="1276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zawiera błędy w obliczeniu ceny; </w:t>
      </w:r>
    </w:p>
    <w:p>
      <w:pPr>
        <w:pStyle w:val="Normal"/>
        <w:numPr>
          <w:ilvl w:val="2"/>
          <w:numId w:val="19"/>
        </w:numPr>
        <w:pBdr/>
        <w:spacing w:lineRule="auto" w:line="360"/>
        <w:ind w:hanging="283" w:start="1276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nie spełnia wymogów formalnych określonych w pkt. VIII</w:t>
      </w:r>
    </w:p>
    <w:p>
      <w:pPr>
        <w:pStyle w:val="Normal"/>
        <w:numPr>
          <w:ilvl w:val="2"/>
          <w:numId w:val="19"/>
        </w:numPr>
        <w:pBdr/>
        <w:spacing w:lineRule="auto" w:line="360"/>
        <w:ind w:hanging="283" w:start="1276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 xml:space="preserve">została złożona przez wykonawcę który podlega wykluczeniu. </w:t>
      </w:r>
    </w:p>
    <w:p>
      <w:pPr>
        <w:pStyle w:val="Normal"/>
        <w:numPr>
          <w:ilvl w:val="0"/>
          <w:numId w:val="6"/>
        </w:numPr>
        <w:pBdr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>Jeżeli zaoferowana cena lub koszt wydają się rażąco niskie w stosunku do przedmiotu zamówienia, tj. różnią się o więcej niż 30% od średniej arytmetycznej cen wszystkich ważnych ofert niepodlegających odrzuceniu, lub budzą wątpliwości zamawiającego co do możliwości wykonania przedmiotu zamówienia zgodnie z wymaganiami określonymi w zapytaniu ofertowym lub wynikającymi z odrębnych przepisów, zamawiający żąda od wykonawcy złożenia w wyznaczonym terminie wyjaśnień, w tym złożenia dowodów w zakresie wyliczenia ceny lub kosztu. Zamawiający ocenia te wyjaśnienia w konsultacji z wykonawcą i może odrzucić tę ofertę wyłącznie w przypadku, gdy złożone wyjaśnienia wraz z dowodami nie uzasadniają podanej ceny lub kosztu w tej ofercie.</w:t>
      </w:r>
    </w:p>
    <w:p>
      <w:pPr>
        <w:pStyle w:val="Normal"/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 xml:space="preserve">.     </w:t>
      </w:r>
    </w:p>
    <w:p>
      <w:pPr>
        <w:pStyle w:val="Normal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</w:r>
    </w:p>
    <w:p>
      <w:pPr>
        <w:pStyle w:val="Heading2"/>
        <w:numPr>
          <w:ilvl w:val="0"/>
          <w:numId w:val="7"/>
        </w:numPr>
        <w:tabs>
          <w:tab w:val="clear" w:pos="720"/>
          <w:tab w:val="left" w:pos="567" w:leader="none"/>
        </w:tabs>
        <w:spacing w:lineRule="auto" w:line="240" w:before="0" w:after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Kryteria oceny ofert i opis sposobu przyznawania punktacji</w:t>
      </w:r>
    </w:p>
    <w:p>
      <w:pPr>
        <w:pStyle w:val="Normal"/>
        <w:pBdr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</w:r>
    </w:p>
    <w:p>
      <w:pPr>
        <w:pStyle w:val="Normal"/>
        <w:numPr>
          <w:ilvl w:val="0"/>
          <w:numId w:val="17"/>
        </w:numPr>
        <w:pBdr/>
        <w:spacing w:lineRule="auto" w:line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Kryteriami oceny ofert są: </w:t>
      </w:r>
    </w:p>
    <w:p>
      <w:pPr>
        <w:pStyle w:val="Normal"/>
        <w:numPr>
          <w:ilvl w:val="0"/>
          <w:numId w:val="18"/>
        </w:numPr>
        <w:pBdr/>
        <w:spacing w:lineRule="auto" w:line="360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  <w:u w:val="single"/>
        </w:rPr>
        <w:t>Cena- 80%</w:t>
      </w:r>
    </w:p>
    <w:p>
      <w:pPr>
        <w:pStyle w:val="Normal"/>
        <w:pBdr/>
        <w:spacing w:lineRule="auto" w:line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Oferta z najniższą ceną ryczałtową otrzyma maksymalną ilość punktów - 80 pkt.</w:t>
      </w:r>
    </w:p>
    <w:p>
      <w:pPr>
        <w:pStyle w:val="Normal"/>
        <w:pBdr/>
        <w:spacing w:lineRule="auto" w:line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Oferty następne będą oceniane na zasadzie proporcji w stosunku do oferty najtańszej wg wzoru:</w:t>
      </w:r>
    </w:p>
    <w:p>
      <w:pPr>
        <w:pStyle w:val="Normal"/>
        <w:spacing w:lineRule="auto" w:line="360"/>
        <w:ind w:start="360"/>
        <w:jc w:val="center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C = [C min / C bad] x 80</w:t>
      </w:r>
    </w:p>
    <w:p>
      <w:pPr>
        <w:pStyle w:val="Normal"/>
        <w:spacing w:lineRule="auto" w:line="360"/>
        <w:ind w:start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gdzie:</w:t>
      </w:r>
    </w:p>
    <w:p>
      <w:pPr>
        <w:pStyle w:val="Normal"/>
        <w:spacing w:lineRule="auto" w:line="360"/>
        <w:ind w:start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    </w:t>
      </w:r>
      <w:r>
        <w:rPr>
          <w:rFonts w:eastAsia="Arial" w:cs="Arial" w:ascii="Arial" w:hAnsi="Arial"/>
          <w:color w:val="000000"/>
          <w:sz w:val="22"/>
          <w:szCs w:val="22"/>
        </w:rPr>
        <w:t>C</w:t>
        <w:tab/>
        <w:t xml:space="preserve"> - liczba punktów za cenę ofertową</w:t>
      </w:r>
    </w:p>
    <w:p>
      <w:pPr>
        <w:pStyle w:val="Normal"/>
        <w:spacing w:lineRule="auto" w:line="360"/>
        <w:ind w:start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    </w:t>
      </w:r>
      <w:r>
        <w:rPr>
          <w:rFonts w:eastAsia="Arial" w:cs="Arial" w:ascii="Arial" w:hAnsi="Arial"/>
          <w:color w:val="000000"/>
          <w:sz w:val="22"/>
          <w:szCs w:val="22"/>
        </w:rPr>
        <w:t>C min - najniższa cena ofertowa spośród ofert badanych</w:t>
      </w:r>
    </w:p>
    <w:p>
      <w:pPr>
        <w:pStyle w:val="Normal"/>
        <w:spacing w:lineRule="auto" w:line="360"/>
        <w:ind w:start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    </w:t>
      </w:r>
      <w:r>
        <w:rPr>
          <w:rFonts w:eastAsia="Arial" w:cs="Arial" w:ascii="Arial" w:hAnsi="Arial"/>
          <w:color w:val="000000"/>
          <w:sz w:val="22"/>
          <w:szCs w:val="22"/>
        </w:rPr>
        <w:t>C bad - cena oferty badanej</w:t>
      </w:r>
    </w:p>
    <w:p>
      <w:pPr>
        <w:pStyle w:val="Normal"/>
        <w:spacing w:lineRule="auto" w:line="360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</w:r>
    </w:p>
    <w:p>
      <w:pPr>
        <w:pStyle w:val="ListParagraph"/>
        <w:numPr>
          <w:ilvl w:val="0"/>
          <w:numId w:val="22"/>
        </w:numPr>
        <w:spacing w:lineRule="auto" w:line="360"/>
        <w:rPr>
          <w:rFonts w:ascii="Arial" w:hAnsi="Arial" w:eastAsia="Arial" w:cs="Arial"/>
          <w:b/>
          <w:bCs/>
          <w:sz w:val="22"/>
          <w:szCs w:val="22"/>
          <w:u w:val="single"/>
        </w:rPr>
      </w:pPr>
      <w:r>
        <w:rPr>
          <w:rFonts w:eastAsia="Arial" w:cs="Arial" w:ascii="Arial" w:hAnsi="Arial"/>
          <w:b/>
          <w:bCs/>
          <w:sz w:val="22"/>
          <w:szCs w:val="22"/>
          <w:u w:val="single"/>
        </w:rPr>
        <w:t>Zatrudnienie osób społecznie marginalizowanych - 20%</w:t>
      </w:r>
    </w:p>
    <w:p>
      <w:pPr>
        <w:pStyle w:val="Normal"/>
        <w:spacing w:lineRule="auto" w:line="360"/>
        <w:ind w:start="720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>Wykonawca skieruje do realizacji zamówienia min. 1 osobę zatrudnioną na min. ½ etatu, z grup społecznie marginalizowanych, o których mowa w art. 94 ust. 1 pzp. Wykonawca składa oświadczenie na formularzu ofertowym.</w:t>
      </w:r>
    </w:p>
    <w:p>
      <w:pPr>
        <w:pStyle w:val="Normal"/>
        <w:spacing w:lineRule="auto" w:line="360"/>
        <w:jc w:val="both"/>
        <w:rPr>
          <w:rFonts w:ascii="Arial" w:hAnsi="Arial" w:eastAsia="Arial" w:cs="Arial"/>
          <w:sz w:val="22"/>
          <w:szCs w:val="22"/>
          <w:lang w:val="pl-PL"/>
        </w:rPr>
      </w:pPr>
      <w:r>
        <w:rPr>
          <w:rFonts w:eastAsia="Arial" w:cs="Arial" w:ascii="Arial" w:hAnsi="Arial"/>
          <w:sz w:val="22"/>
          <w:szCs w:val="22"/>
          <w:lang w:val="pl-PL"/>
        </w:rPr>
        <w:t>Wykonawca skieruje do realizacji zamówienia co najmniej 1 osobę z grup społecznie marginalizowanych przy realizacji zamówienia – </w:t>
      </w:r>
      <w:r>
        <w:rPr>
          <w:rFonts w:eastAsia="Arial" w:cs="Arial" w:ascii="Arial" w:hAnsi="Arial"/>
          <w:b/>
          <w:bCs/>
          <w:sz w:val="22"/>
          <w:szCs w:val="22"/>
          <w:lang w:val="pl-PL"/>
        </w:rPr>
        <w:t>20 pkt</w:t>
      </w:r>
      <w:r>
        <w:rPr>
          <w:rFonts w:eastAsia="Arial" w:cs="Arial" w:ascii="Arial" w:hAnsi="Arial"/>
          <w:sz w:val="22"/>
          <w:szCs w:val="22"/>
          <w:lang w:val="pl-PL"/>
        </w:rPr>
        <w:t>.</w:t>
      </w:r>
    </w:p>
    <w:p>
      <w:pPr>
        <w:pStyle w:val="Normal"/>
        <w:spacing w:lineRule="auto" w:line="360"/>
        <w:rPr>
          <w:rFonts w:ascii="Arial" w:hAnsi="Arial" w:eastAsia="Arial" w:cs="Arial"/>
          <w:sz w:val="22"/>
          <w:szCs w:val="22"/>
          <w:lang w:val="pl-PL"/>
        </w:rPr>
      </w:pPr>
      <w:r>
        <w:rPr>
          <w:rFonts w:eastAsia="Arial" w:cs="Arial" w:ascii="Arial" w:hAnsi="Arial"/>
          <w:sz w:val="22"/>
          <w:szCs w:val="22"/>
          <w:lang w:val="pl-PL"/>
        </w:rPr>
        <w:t>Brak deklaracji zatrudnienia– </w:t>
      </w:r>
      <w:r>
        <w:rPr>
          <w:rFonts w:eastAsia="Arial" w:cs="Arial" w:ascii="Arial" w:hAnsi="Arial"/>
          <w:b/>
          <w:bCs/>
          <w:sz w:val="22"/>
          <w:szCs w:val="22"/>
          <w:lang w:val="pl-PL"/>
        </w:rPr>
        <w:t>0 pkt</w:t>
      </w:r>
      <w:r>
        <w:rPr>
          <w:rFonts w:eastAsia="Arial" w:cs="Arial" w:ascii="Arial" w:hAnsi="Arial"/>
          <w:sz w:val="22"/>
          <w:szCs w:val="22"/>
          <w:lang w:val="pl-PL"/>
        </w:rPr>
        <w:t>.</w:t>
      </w:r>
    </w:p>
    <w:p>
      <w:pPr>
        <w:pStyle w:val="Normal"/>
        <w:pBdr/>
        <w:spacing w:lineRule="auto" w:line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</w:r>
    </w:p>
    <w:p>
      <w:pPr>
        <w:pStyle w:val="Normal"/>
        <w:pBdr/>
        <w:spacing w:lineRule="auto" w:line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Za ofertę najkorzystniejszą zostanie uznana ta oferta, która po zsumowaniu liczby punktów uzyskanych we wskazanych wyżej kryteriach uzyska najw</w:t>
      </w:r>
      <w:r>
        <w:rPr>
          <w:rFonts w:eastAsia="Arial" w:cs="Arial" w:ascii="Arial" w:hAnsi="Arial"/>
          <w:sz w:val="22"/>
          <w:szCs w:val="22"/>
        </w:rPr>
        <w:t>iększą</w:t>
      </w:r>
      <w:r>
        <w:rPr>
          <w:rFonts w:eastAsia="Arial" w:cs="Arial" w:ascii="Arial" w:hAnsi="Arial"/>
          <w:color w:val="000000"/>
          <w:sz w:val="22"/>
          <w:szCs w:val="22"/>
        </w:rPr>
        <w:t xml:space="preserve"> liczbę punktów:</w:t>
      </w:r>
    </w:p>
    <w:p>
      <w:pPr>
        <w:pStyle w:val="Normal"/>
        <w:spacing w:lineRule="auto" w:line="360"/>
        <w:jc w:val="center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</w:r>
    </w:p>
    <w:p>
      <w:pPr>
        <w:pStyle w:val="Normal"/>
        <w:spacing w:lineRule="auto" w:line="360"/>
        <w:jc w:val="center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>P = C+ S</w:t>
      </w:r>
    </w:p>
    <w:p>
      <w:pPr>
        <w:pStyle w:val="Normal"/>
        <w:spacing w:lineRule="auto" w:line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gdzie:</w:t>
      </w:r>
    </w:p>
    <w:p>
      <w:pPr>
        <w:pStyle w:val="Normal"/>
        <w:numPr>
          <w:ilvl w:val="0"/>
          <w:numId w:val="18"/>
        </w:numPr>
        <w:pBdr/>
        <w:spacing w:lineRule="auto" w:line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P - całkowita liczba punktów przyznana ofercie,</w:t>
      </w:r>
    </w:p>
    <w:p>
      <w:pPr>
        <w:pStyle w:val="Normal"/>
        <w:numPr>
          <w:ilvl w:val="0"/>
          <w:numId w:val="18"/>
        </w:numPr>
        <w:pBdr/>
        <w:spacing w:lineRule="auto" w:line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C - liczba punktów przyznanych badanej ofercie w kryterium „cena”,</w:t>
      </w:r>
    </w:p>
    <w:p>
      <w:pPr>
        <w:pStyle w:val="Normal"/>
        <w:numPr>
          <w:ilvl w:val="0"/>
          <w:numId w:val="18"/>
        </w:numPr>
        <w:pBdr/>
        <w:spacing w:lineRule="auto" w:line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S - liczba punktów przyznanych badanej ofercie w kryterium „społecznym”</w:t>
      </w:r>
    </w:p>
    <w:p>
      <w:pPr>
        <w:pStyle w:val="Normal"/>
        <w:spacing w:lineRule="auto" w:line="360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</w:r>
    </w:p>
    <w:p>
      <w:pPr>
        <w:pStyle w:val="Normal"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Uzyskana ilość punktów zostanie ostatecznie ustalona z dokładnością do drugiego miejsca po przecinku z zachowaniem zasady zaokrągleń matematycznych.</w:t>
      </w:r>
    </w:p>
    <w:p>
      <w:pPr>
        <w:pStyle w:val="Normal"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</w:r>
    </w:p>
    <w:p>
      <w:pPr>
        <w:pStyle w:val="Normal"/>
        <w:numPr>
          <w:ilvl w:val="0"/>
          <w:numId w:val="17"/>
        </w:numPr>
        <w:pBdr/>
        <w:spacing w:lineRule="auto" w:line="360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b/>
          <w:bCs/>
          <w:sz w:val="22"/>
          <w:szCs w:val="22"/>
        </w:rPr>
        <w:t xml:space="preserve">Punkty będą liczone osobno dla każdej z części. </w:t>
      </w:r>
    </w:p>
    <w:p>
      <w:pPr>
        <w:pStyle w:val="Normal"/>
        <w:pBdr/>
        <w:ind w:start="72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</w:r>
    </w:p>
    <w:p>
      <w:pPr>
        <w:pStyle w:val="Normal"/>
        <w:numPr>
          <w:ilvl w:val="0"/>
          <w:numId w:val="7"/>
        </w:numPr>
        <w:pBdr/>
        <w:spacing w:lineRule="auto" w:line="360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 xml:space="preserve">Termin, miejsce i forma składania ofert </w:t>
      </w:r>
    </w:p>
    <w:p>
      <w:pPr>
        <w:pStyle w:val="Normal"/>
        <w:pBdr/>
        <w:spacing w:lineRule="auto" w:line="360"/>
        <w:ind w:start="720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</w:r>
    </w:p>
    <w:p>
      <w:pPr>
        <w:pStyle w:val="Normal"/>
        <w:numPr>
          <w:ilvl w:val="0"/>
          <w:numId w:val="11"/>
        </w:numPr>
        <w:pBdr/>
        <w:spacing w:lineRule="auto" w:line="360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Ofertę należy złożyć w terminie do</w:t>
      </w:r>
      <w:r>
        <w:rPr>
          <w:rFonts w:eastAsia="Arial" w:cs="Arial" w:ascii="Arial" w:hAnsi="Arial"/>
          <w:sz w:val="22"/>
          <w:szCs w:val="22"/>
        </w:rPr>
        <w:t xml:space="preserve"> </w:t>
      </w:r>
      <w:r>
        <w:rPr>
          <w:rFonts w:eastAsia="Arial" w:cs="Arial" w:ascii="Arial" w:hAnsi="Arial"/>
          <w:b/>
          <w:bCs/>
          <w:sz w:val="22"/>
          <w:szCs w:val="22"/>
        </w:rPr>
        <w:t>10.</w:t>
      </w:r>
      <w:r>
        <w:rPr>
          <w:rFonts w:eastAsia="Arial" w:cs="Arial" w:ascii="Arial" w:hAnsi="Arial"/>
          <w:b/>
          <w:bCs/>
          <w:sz w:val="22"/>
          <w:szCs w:val="22"/>
          <w:u w:val="single"/>
        </w:rPr>
        <w:t>02.2026 r</w:t>
      </w:r>
      <w:r>
        <w:rPr>
          <w:rFonts w:eastAsia="Arial" w:cs="Arial" w:ascii="Arial" w:hAnsi="Arial"/>
          <w:b/>
          <w:bCs/>
          <w:sz w:val="22"/>
          <w:szCs w:val="22"/>
        </w:rPr>
        <w:t xml:space="preserve">. </w:t>
      </w:r>
      <w:r>
        <w:rPr>
          <w:rFonts w:eastAsia="Arial" w:cs="Arial" w:ascii="Arial" w:hAnsi="Arial"/>
          <w:b/>
          <w:bCs/>
          <w:sz w:val="22"/>
          <w:szCs w:val="22"/>
          <w:u w:val="single"/>
        </w:rPr>
        <w:t>do godziny</w:t>
      </w:r>
      <w:r>
        <w:rPr>
          <w:rFonts w:eastAsia="Arial" w:cs="Arial" w:ascii="Arial" w:hAnsi="Arial"/>
          <w:b/>
          <w:bCs/>
          <w:color w:val="000000"/>
          <w:sz w:val="22"/>
          <w:szCs w:val="22"/>
        </w:rPr>
        <w:t xml:space="preserve">: </w:t>
      </w:r>
      <w:r>
        <w:rPr>
          <w:rFonts w:eastAsia="Arial" w:cs="Arial" w:ascii="Arial" w:hAnsi="Arial"/>
          <w:b/>
          <w:bCs/>
          <w:sz w:val="22"/>
          <w:szCs w:val="22"/>
        </w:rPr>
        <w:t>10.00</w:t>
      </w:r>
      <w:r>
        <w:rPr>
          <w:rFonts w:eastAsia="Arial" w:cs="Arial" w:ascii="Arial" w:hAnsi="Arial"/>
          <w:b/>
          <w:bCs/>
          <w:color w:val="000000"/>
          <w:sz w:val="22"/>
          <w:szCs w:val="22"/>
        </w:rPr>
        <w:t xml:space="preserve">: </w:t>
      </w:r>
    </w:p>
    <w:p>
      <w:pPr>
        <w:pStyle w:val="Normal"/>
        <w:numPr>
          <w:ilvl w:val="1"/>
          <w:numId w:val="12"/>
        </w:numPr>
        <w:pBdr/>
        <w:spacing w:lineRule="auto" w:line="360"/>
        <w:ind w:hanging="425" w:start="1134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elektronicznie przez platformę Baza Konkurencyjności 2021 (BK2021), pod adresem https://bazakonkurencyjnosci.funduszeeuropejskie.gov.pl/</w:t>
      </w:r>
    </w:p>
    <w:p>
      <w:pPr>
        <w:pStyle w:val="Normal"/>
        <w:numPr>
          <w:ilvl w:val="0"/>
          <w:numId w:val="11"/>
        </w:numPr>
        <w:pBdr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Oferta winna zawierać: kompletny, wypełniony formularz ofertowy zgodny z wzorem stanowiącym załącznik nr 2 do zapytania ofertowego</w:t>
      </w:r>
      <w:r>
        <w:rPr>
          <w:rFonts w:eastAsia="Arial" w:cs="Arial" w:ascii="Arial" w:hAnsi="Arial"/>
          <w:sz w:val="22"/>
          <w:szCs w:val="22"/>
        </w:rPr>
        <w:t xml:space="preserve"> wraz wypełnionym załącznikiem nr 1 oraz z załącznikiem nr 4 wraz z dokumentami potwierdzającymi należyte wykonanie umowy.</w:t>
      </w:r>
    </w:p>
    <w:p>
      <w:pPr>
        <w:pStyle w:val="Normal"/>
        <w:numPr>
          <w:ilvl w:val="0"/>
          <w:numId w:val="11"/>
        </w:numPr>
        <w:pBdr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Forma oferty: </w:t>
      </w:r>
    </w:p>
    <w:p>
      <w:pPr>
        <w:pStyle w:val="Normal"/>
        <w:numPr>
          <w:ilvl w:val="0"/>
          <w:numId w:val="14"/>
        </w:numPr>
        <w:pBdr/>
        <w:spacing w:lineRule="auto" w:line="360"/>
        <w:ind w:hanging="425" w:start="1134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Oferta powinna być uzupełniona czytelnie w języku polskim, podpisana przez osobę uprawnioną do występowania w imieniu oferenta. Wersja elektroniczna powinna zawierać skan oferty podpisanej przez ofertę uprawnioną do reprezentowania oferenta.</w:t>
      </w:r>
    </w:p>
    <w:p>
      <w:pPr>
        <w:pStyle w:val="Normal"/>
        <w:numPr>
          <w:ilvl w:val="0"/>
          <w:numId w:val="14"/>
        </w:numPr>
        <w:pBdr/>
        <w:spacing w:lineRule="auto" w:line="360"/>
        <w:ind w:hanging="425" w:start="1134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>Wykonawca może złożyć ofertę na </w:t>
      </w:r>
      <w:r>
        <w:rPr>
          <w:rFonts w:eastAsia="Arial" w:cs="Arial" w:ascii="Arial" w:hAnsi="Arial"/>
          <w:b/>
          <w:bCs/>
          <w:sz w:val="22"/>
          <w:szCs w:val="22"/>
        </w:rPr>
        <w:t>jedną, kilka lub wszystkie części</w:t>
      </w:r>
      <w:r>
        <w:rPr>
          <w:rFonts w:eastAsia="Arial" w:cs="Arial" w:ascii="Arial" w:hAnsi="Arial"/>
          <w:sz w:val="22"/>
          <w:szCs w:val="22"/>
        </w:rPr>
        <w:t xml:space="preserve"> zamówienia. </w:t>
      </w:r>
      <w:r>
        <w:rPr>
          <w:rFonts w:eastAsia="Arial" w:cs="Arial" w:ascii="Arial" w:hAnsi="Arial"/>
          <w:color w:val="000000"/>
          <w:sz w:val="22"/>
          <w:szCs w:val="22"/>
        </w:rPr>
        <w:t>wszystkie oferty powinny być składane za pośrednictwem aplikacji BK2021.</w:t>
      </w:r>
    </w:p>
    <w:p>
      <w:pPr>
        <w:pStyle w:val="Normal"/>
        <w:numPr>
          <w:ilvl w:val="0"/>
          <w:numId w:val="14"/>
        </w:numPr>
        <w:pBdr/>
        <w:spacing w:lineRule="auto" w:line="360"/>
        <w:ind w:hanging="425" w:start="1134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Komunikacja między zamawiającym a oferentem (pytania/odpowiedzi) również odbywa się za pośrednictwem aplikacji BK2021.</w:t>
      </w:r>
    </w:p>
    <w:p>
      <w:pPr>
        <w:pStyle w:val="Normal"/>
        <w:numPr>
          <w:ilvl w:val="0"/>
          <w:numId w:val="11"/>
        </w:numPr>
        <w:pBdr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Zapytanie ofertowe może zostać zmienione przed upływem terminu składania ofert. Zamawiający informuje w zapytaniu ofertowym o zakresie zmian. Zamawiający przedłuża termin składania ofert o czas niezbędny do wprowadzenia zmian w ofertach, jeżeli jest to konieczne z uwagi na zakres wprowadzonych zmian.</w:t>
      </w:r>
    </w:p>
    <w:p>
      <w:pPr>
        <w:pStyle w:val="Normal"/>
        <w:numPr>
          <w:ilvl w:val="0"/>
          <w:numId w:val="11"/>
        </w:numPr>
        <w:pBdr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Oferty, które wpłyną po upływie terminu, te które nie będą posiadały wymaganych załączników oraz te które wpłyną inaczej niż poprzez portal Baza Konkurencyjności zostaną odrzucone.</w:t>
      </w:r>
    </w:p>
    <w:p>
      <w:pPr>
        <w:pStyle w:val="ListParagraph"/>
        <w:numPr>
          <w:ilvl w:val="0"/>
          <w:numId w:val="11"/>
        </w:numPr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Jeśli wykonawca wskaże preferencyjną stawkę VAT, ale nie załączy wymaganych dokumentów, bądź załączone dokumenty będą budziły wątpliwości zamawiającego, w takiej sytuacji zamawiający wezwie do uzupełnienia dokumentów, bądź wezwie do wyjaśnienia dokumentów przedłożonych przez wykonawcę.</w:t>
      </w:r>
    </w:p>
    <w:p>
      <w:pPr>
        <w:pStyle w:val="Normal"/>
        <w:numPr>
          <w:ilvl w:val="0"/>
          <w:numId w:val="11"/>
        </w:numPr>
        <w:pBdr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Jeśli w wyniku przedłożonych dokumentów lub udzielonych wyjaśnień bądź braku przedłożonych na wezwanie dokumentów, zamawiający dojdzie do przekonania, że wykonawca nie jest uprawniony do zastosowania preferencyjnej </w:t>
      </w:r>
      <w:r>
        <w:rPr>
          <w:rFonts w:eastAsia="Arial" w:cs="Arial" w:ascii="Arial" w:hAnsi="Arial"/>
          <w:color w:val="000000"/>
          <w:sz w:val="22"/>
          <w:szCs w:val="22"/>
        </w:rPr>
        <w:t>stawki VAT</w:t>
      </w:r>
      <w:r>
        <w:rPr>
          <w:rFonts w:eastAsia="Arial" w:cs="Arial" w:ascii="Arial" w:hAnsi="Arial"/>
          <w:color w:val="000000"/>
          <w:sz w:val="22"/>
          <w:szCs w:val="22"/>
        </w:rPr>
        <w:t>, wówczas zamawiający poprawi stawkę VAT na 23%. W takiej sytuacji przy rozliczeniu uwzględniana będzie stawka 23%. Zastosowane rozwiązanie nie będzie prowadziło do zmiany oferty, ponieważ zamawiający wskazał, kiedy nastąpi poprawa stawki na 23%, więc konsekwencje w tym zakresie są znane wykonawcom.</w:t>
      </w:r>
    </w:p>
    <w:p>
      <w:pPr>
        <w:pStyle w:val="Normal"/>
        <w:numPr>
          <w:ilvl w:val="0"/>
          <w:numId w:val="11"/>
        </w:numPr>
        <w:pBdr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>Termin związania ofertą wynosi 30 dni.</w:t>
      </w:r>
    </w:p>
    <w:p>
      <w:pPr>
        <w:pStyle w:val="Normal"/>
        <w:pBdr/>
        <w:spacing w:lineRule="auto" w:line="360"/>
        <w:ind w:start="72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</w:r>
    </w:p>
    <w:p>
      <w:pPr>
        <w:pStyle w:val="Normal"/>
        <w:spacing w:lineRule="auto" w:line="360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</w:r>
    </w:p>
    <w:p>
      <w:pPr>
        <w:pStyle w:val="Normal"/>
        <w:spacing w:lineRule="auto" w:line="360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</w:r>
    </w:p>
    <w:p>
      <w:pPr>
        <w:pStyle w:val="Normal"/>
        <w:numPr>
          <w:ilvl w:val="0"/>
          <w:numId w:val="7"/>
        </w:numPr>
        <w:pBdr/>
        <w:spacing w:lineRule="auto" w:line="360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>Warunki płatności</w:t>
      </w:r>
    </w:p>
    <w:p>
      <w:pPr>
        <w:pStyle w:val="Normal"/>
        <w:numPr>
          <w:ilvl w:val="0"/>
          <w:numId w:val="20"/>
        </w:numPr>
        <w:pBdr/>
        <w:spacing w:lineRule="auto" w:line="360"/>
        <w:ind w:hanging="284" w:start="426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Podstawą do wystawienia faktury końcowej jest podpisany</w:t>
      </w:r>
      <w:r>
        <w:rPr>
          <w:rFonts w:eastAsia="Arial" w:cs="Arial" w:ascii="Arial" w:hAnsi="Arial"/>
          <w:sz w:val="22"/>
          <w:szCs w:val="22"/>
        </w:rPr>
        <w:t xml:space="preserve"> </w:t>
      </w:r>
      <w:r>
        <w:rPr>
          <w:rFonts w:eastAsia="Arial" w:cs="Arial" w:ascii="Arial" w:hAnsi="Arial"/>
          <w:color w:val="000000"/>
          <w:sz w:val="22"/>
          <w:szCs w:val="22"/>
        </w:rPr>
        <w:t>protokół odbioru końcowego bez uwag.</w:t>
      </w:r>
    </w:p>
    <w:p>
      <w:pPr>
        <w:pStyle w:val="Normal"/>
        <w:numPr>
          <w:ilvl w:val="0"/>
          <w:numId w:val="20"/>
        </w:numPr>
        <w:pBdr/>
        <w:spacing w:lineRule="auto" w:line="360"/>
        <w:ind w:hanging="284" w:start="426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Rozliczenie z tytułu zamówienia następować będzie na podstawie faktury wystawionej przez wykonawcę po zakończeniu realizacji zadania.</w:t>
      </w:r>
    </w:p>
    <w:p>
      <w:pPr>
        <w:pStyle w:val="Normal"/>
        <w:numPr>
          <w:ilvl w:val="0"/>
          <w:numId w:val="20"/>
        </w:numPr>
        <w:pBdr/>
        <w:spacing w:lineRule="auto" w:line="360"/>
        <w:ind w:hanging="284" w:start="426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Płatność zostanie dokonana przelewem na rachunek Wykonawcy w terminie do 30 dni od dnia otrzymania prawidłowo wystawionej faktury VAT. Do faktury należy dołączyć protok</w:t>
      </w:r>
      <w:r>
        <w:rPr>
          <w:rFonts w:eastAsia="Arial" w:cs="Arial" w:ascii="Arial" w:hAnsi="Arial"/>
          <w:sz w:val="22"/>
          <w:szCs w:val="22"/>
        </w:rPr>
        <w:t xml:space="preserve">ół bez uwag. </w:t>
      </w:r>
      <w:r>
        <w:rPr>
          <w:rFonts w:eastAsia="Arial" w:cs="Arial" w:ascii="Arial" w:hAnsi="Arial"/>
          <w:color w:val="000000"/>
          <w:sz w:val="22"/>
          <w:szCs w:val="22"/>
        </w:rPr>
        <w:t xml:space="preserve">  </w:t>
      </w:r>
    </w:p>
    <w:p>
      <w:pPr>
        <w:pStyle w:val="Normal"/>
        <w:pBdr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</w:r>
    </w:p>
    <w:p>
      <w:pPr>
        <w:pStyle w:val="Normal"/>
        <w:numPr>
          <w:ilvl w:val="0"/>
          <w:numId w:val="7"/>
        </w:numPr>
        <w:pBdr/>
        <w:spacing w:lineRule="auto" w:line="360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>Postanowienia ogólne</w:t>
      </w:r>
    </w:p>
    <w:p>
      <w:pPr>
        <w:pStyle w:val="Normal"/>
        <w:numPr>
          <w:ilvl w:val="0"/>
          <w:numId w:val="13"/>
        </w:numPr>
        <w:pBdr/>
        <w:spacing w:lineRule="auto" w:line="360"/>
        <w:ind w:hanging="360" w:start="426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Informację o wyniku postępowania Zamawiający upubliczni poprzez zamieszczenie informacji o wybranym wykonawcy na stronie www. „Baza konkurencyjności. Fundusze europejskie”. </w:t>
      </w:r>
      <w:hyperlink r:id="rId4">
        <w:r>
          <w:rPr>
            <w:rStyle w:val="Style3"/>
            <w:rFonts w:eastAsia="Arial" w:cs="Arial" w:ascii="Arial" w:hAnsi="Arial"/>
            <w:color w:val="000000"/>
            <w:sz w:val="22"/>
            <w:szCs w:val="22"/>
            <w:u w:val="single"/>
          </w:rPr>
          <w:t>www.bazakonkurencyjnosci.funduszeeuropejskie.gov.pl</w:t>
        </w:r>
      </w:hyperlink>
      <w:r>
        <w:rPr>
          <w:rFonts w:eastAsia="Arial" w:cs="Arial" w:ascii="Arial" w:hAnsi="Arial"/>
          <w:color w:val="000000"/>
          <w:sz w:val="22"/>
          <w:szCs w:val="22"/>
        </w:rPr>
        <w:t xml:space="preserve"> </w:t>
      </w:r>
    </w:p>
    <w:p>
      <w:pPr>
        <w:pStyle w:val="Normal"/>
        <w:numPr>
          <w:ilvl w:val="0"/>
          <w:numId w:val="13"/>
        </w:numPr>
        <w:pBdr/>
        <w:spacing w:lineRule="auto" w:line="360"/>
        <w:ind w:hanging="360" w:start="426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Zamawiający powiadomi o wyniku postępowania każdego z oferentów. </w:t>
      </w:r>
    </w:p>
    <w:p>
      <w:pPr>
        <w:pStyle w:val="Normal"/>
        <w:numPr>
          <w:ilvl w:val="0"/>
          <w:numId w:val="13"/>
        </w:numPr>
        <w:pBdr/>
        <w:spacing w:lineRule="auto" w:line="360"/>
        <w:ind w:hanging="360" w:start="426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W przypadku gdy wybrany wykonawca odstąpi bądź będzie się uchy</w:t>
      </w:r>
      <w:r>
        <w:rPr>
          <w:rFonts w:eastAsia="Arial" w:cs="Arial" w:ascii="Arial" w:hAnsi="Arial"/>
          <w:sz w:val="22"/>
          <w:szCs w:val="22"/>
        </w:rPr>
        <w:t xml:space="preserve">lał </w:t>
      </w:r>
      <w:r>
        <w:rPr>
          <w:rFonts w:eastAsia="Arial" w:cs="Arial" w:ascii="Arial" w:hAnsi="Arial"/>
          <w:color w:val="000000"/>
          <w:sz w:val="22"/>
          <w:szCs w:val="22"/>
        </w:rPr>
        <w:t>od podpisania umowy z zamawiającym, możliwe jest podpisanie umowy z kolejnym wykonawcą, który w postępowaniu o udzielenie zamówienia uzyskał kolejną najwyższą liczbę punktów.</w:t>
      </w:r>
    </w:p>
    <w:p>
      <w:pPr>
        <w:pStyle w:val="Normal"/>
        <w:numPr>
          <w:ilvl w:val="0"/>
          <w:numId w:val="13"/>
        </w:numPr>
        <w:pBdr/>
        <w:spacing w:lineRule="auto" w:line="360"/>
        <w:ind w:hanging="360" w:start="426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Zamawiający zastrzega sobie prawo unieważnienia niniejszego postępowania bez podania uzasadnienia, aż do wyboru najkorzystniejszej oferty, a także do pozostawienia postępowania bez wyboru oferty. </w:t>
      </w:r>
    </w:p>
    <w:p>
      <w:pPr>
        <w:pStyle w:val="Normal"/>
        <w:numPr>
          <w:ilvl w:val="0"/>
          <w:numId w:val="13"/>
        </w:numPr>
        <w:pBdr/>
        <w:spacing w:lineRule="auto" w:line="360"/>
        <w:ind w:hanging="360" w:start="426"/>
        <w:jc w:val="both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  <w:t xml:space="preserve">Zamawiający dopuszcza składanie ofert częściowych. </w:t>
      </w:r>
    </w:p>
    <w:p>
      <w:pPr>
        <w:pStyle w:val="Normal"/>
        <w:numPr>
          <w:ilvl w:val="0"/>
          <w:numId w:val="13"/>
        </w:numPr>
        <w:pBdr/>
        <w:spacing w:lineRule="auto" w:line="360"/>
        <w:ind w:hanging="360" w:start="426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Zamawiający nie dopuszcza składania ofert wariantowych.</w:t>
      </w:r>
    </w:p>
    <w:p>
      <w:pPr>
        <w:pStyle w:val="Normal"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</w:r>
    </w:p>
    <w:p>
      <w:pPr>
        <w:pStyle w:val="Normal"/>
        <w:numPr>
          <w:ilvl w:val="0"/>
          <w:numId w:val="7"/>
        </w:numPr>
        <w:pBdr/>
        <w:spacing w:lineRule="auto" w:line="360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 xml:space="preserve">Informacja o sposobie porozumiewania się Zamawiającego z Wykonawcą:  </w:t>
      </w:r>
    </w:p>
    <w:p>
      <w:pPr>
        <w:pStyle w:val="Normal"/>
        <w:numPr>
          <w:ilvl w:val="0"/>
          <w:numId w:val="15"/>
        </w:numPr>
        <w:pBdr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Komunikacja między zamawiającym a oferentem (pytania/odpowiedzi) odbywa się pisemnie za pośrednictwem aplikacji BK2021.</w:t>
      </w:r>
    </w:p>
    <w:p>
      <w:pPr>
        <w:pStyle w:val="Normal"/>
        <w:numPr>
          <w:ilvl w:val="0"/>
          <w:numId w:val="15"/>
        </w:numPr>
        <w:pBdr/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 xml:space="preserve">Osoba uprawniona do kontaktu z Wykonawcami:  Katarzyna Krawczyk email: </w:t>
      </w:r>
      <w:hyperlink r:id="rId5">
        <w:r>
          <w:rPr>
            <w:rStyle w:val="Style3"/>
            <w:rFonts w:eastAsia="Arial" w:cs="Arial" w:ascii="Arial" w:hAnsi="Arial"/>
            <w:color w:val="0000FF"/>
            <w:sz w:val="22"/>
            <w:szCs w:val="22"/>
            <w:u w:val="single"/>
          </w:rPr>
          <w:t>katarzyna.krawczyk@cande.pl</w:t>
        </w:r>
      </w:hyperlink>
      <w:r>
        <w:rPr>
          <w:rFonts w:eastAsia="Arial" w:cs="Arial" w:ascii="Arial" w:hAnsi="Arial"/>
          <w:color w:val="000000"/>
          <w:sz w:val="22"/>
          <w:szCs w:val="22"/>
        </w:rPr>
        <w:t xml:space="preserve"> tel. 606 27 44 33  w dniach roboczych, w godzinach pracy biura od godziny: 10:00. do godziny 14:00.</w:t>
      </w:r>
    </w:p>
    <w:p>
      <w:pPr>
        <w:pStyle w:val="Normal"/>
        <w:pBdr/>
        <w:spacing w:lineRule="auto" w:line="360"/>
        <w:ind w:start="72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ab/>
      </w:r>
    </w:p>
    <w:p>
      <w:pPr>
        <w:pStyle w:val="Normal"/>
        <w:numPr>
          <w:ilvl w:val="0"/>
          <w:numId w:val="7"/>
        </w:numPr>
        <w:pBdr/>
        <w:spacing w:lineRule="auto" w:line="360"/>
        <w:jc w:val="both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>Klauzula RODO</w:t>
      </w:r>
    </w:p>
    <w:p>
      <w:pPr>
        <w:pStyle w:val="Normal"/>
        <w:spacing w:lineRule="auto" w:line="360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</w:r>
    </w:p>
    <w:p>
      <w:pPr>
        <w:pStyle w:val="Normal"/>
        <w:tabs>
          <w:tab w:val="clear" w:pos="720"/>
          <w:tab w:val="left" w:pos="969" w:leader="none"/>
        </w:tabs>
        <w:jc w:val="center"/>
        <w:rPr>
          <w:rFonts w:ascii="Arial" w:hAnsi="Arial" w:cs="Arial"/>
          <w:b/>
          <w:bCs/>
          <w:iCs/>
          <w:spacing w:val="-1"/>
          <w:sz w:val="22"/>
          <w:szCs w:val="22"/>
        </w:rPr>
      </w:pPr>
      <w:r>
        <w:rPr>
          <w:rFonts w:cs="Arial" w:ascii="Arial" w:hAnsi="Arial"/>
          <w:b/>
          <w:spacing w:val="-1"/>
          <w:sz w:val="22"/>
          <w:szCs w:val="22"/>
        </w:rPr>
        <w:t xml:space="preserve">Klauzula informacyjna RODO dla wykonawców/podwykonawców projektu </w:t>
        <w:br/>
      </w:r>
      <w:r>
        <w:rPr>
          <w:rFonts w:cs="Arial" w:ascii="Arial" w:hAnsi="Arial"/>
          <w:b/>
          <w:bCs/>
          <w:iCs/>
          <w:spacing w:val="-1"/>
          <w:sz w:val="22"/>
          <w:szCs w:val="22"/>
        </w:rPr>
        <w:t>(art. 14 RODO)</w:t>
      </w:r>
    </w:p>
    <w:p>
      <w:pPr>
        <w:pStyle w:val="Normal"/>
        <w:tabs>
          <w:tab w:val="clear" w:pos="720"/>
          <w:tab w:val="left" w:pos="969" w:leader="none"/>
        </w:tabs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Szanowna/y Pani/Panie,</w:t>
      </w:r>
    </w:p>
    <w:p>
      <w:pPr>
        <w:pStyle w:val="Normal"/>
        <w:tabs>
          <w:tab w:val="clear" w:pos="720"/>
          <w:tab w:val="left" w:pos="969" w:leader="none"/>
        </w:tabs>
        <w:spacing w:before="0" w:after="144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 xml:space="preserve">zgodnie z art. 14 Rozporządzenia Parlamentu Europejskiego i Rady (UE) 2016/679 </w:t>
        <w:br/>
        <w:t xml:space="preserve">z dnia 27 kwietnia 2016 r. w sprawie ochrony osób fizycznych w związku </w:t>
        <w:br/>
        <w:t>z przetwarzaniem danych osobowych i w sprawie swobodnego przepływu takich danych oraz uchylenia dyrektywy 95/46/WE (dalej zwane „RODO”) uprzejmie informuję, iż:</w:t>
      </w:r>
    </w:p>
    <w:p>
      <w:pPr>
        <w:pStyle w:val="Normal"/>
        <w:tabs>
          <w:tab w:val="clear" w:pos="720"/>
          <w:tab w:val="left" w:pos="969" w:leader="none"/>
        </w:tabs>
        <w:spacing w:before="0" w:after="144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 xml:space="preserve">1. Administratorem Pani/Pana danych osobowych jest Zarząd Województwa Łódzkiego z siedzibą w Łodzi 90-051, al. Piłsudskiego 8, tel.: 42 663 30 00, e-mail: </w:t>
      </w:r>
      <w:hyperlink r:id="rId6">
        <w:r>
          <w:rPr>
            <w:rStyle w:val="Hyperlink"/>
            <w:rFonts w:cs="Arial" w:ascii="Arial" w:hAnsi="Arial"/>
            <w:spacing w:val="-1"/>
            <w:sz w:val="22"/>
            <w:szCs w:val="22"/>
          </w:rPr>
          <w:t>info@lodzkie.pl</w:t>
        </w:r>
      </w:hyperlink>
      <w:r>
        <w:rPr>
          <w:rFonts w:cs="Arial" w:ascii="Arial" w:hAnsi="Arial"/>
          <w:spacing w:val="-1"/>
          <w:sz w:val="22"/>
          <w:szCs w:val="22"/>
        </w:rPr>
        <w:t xml:space="preserve"> </w:t>
      </w:r>
    </w:p>
    <w:p>
      <w:pPr>
        <w:pStyle w:val="Normal"/>
        <w:tabs>
          <w:tab w:val="clear" w:pos="720"/>
          <w:tab w:val="left" w:pos="969" w:leader="none"/>
        </w:tabs>
        <w:spacing w:before="0" w:after="144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 xml:space="preserve">2. Administrator powołał Inspektora Ochrony Danych, z którym można się skontaktować w sprawie przetwarzania danych osobowych pisząc na adres e-mail: </w:t>
      </w:r>
      <w:hyperlink r:id="rId7">
        <w:r>
          <w:rPr>
            <w:rStyle w:val="Hyperlink"/>
            <w:rFonts w:cs="Arial" w:ascii="Arial" w:hAnsi="Arial"/>
            <w:spacing w:val="-1"/>
            <w:sz w:val="22"/>
            <w:szCs w:val="22"/>
          </w:rPr>
          <w:t>iod@lodzkie.pl</w:t>
        </w:r>
      </w:hyperlink>
      <w:r>
        <w:rPr>
          <w:rFonts w:cs="Arial" w:ascii="Arial" w:hAnsi="Arial"/>
          <w:spacing w:val="-1"/>
          <w:sz w:val="22"/>
          <w:szCs w:val="22"/>
        </w:rPr>
        <w:t xml:space="preserve"> lub na adres siedziby administratora.</w:t>
      </w:r>
    </w:p>
    <w:p>
      <w:pPr>
        <w:pStyle w:val="Normal"/>
        <w:tabs>
          <w:tab w:val="clear" w:pos="720"/>
          <w:tab w:val="left" w:pos="969" w:leader="none"/>
        </w:tabs>
        <w:spacing w:before="0" w:after="144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3. Pani/Pana dane osobowe przetwarzane będą w celu:</w:t>
      </w:r>
    </w:p>
    <w:p>
      <w:pPr>
        <w:pStyle w:val="Normal"/>
        <w:tabs>
          <w:tab w:val="clear" w:pos="720"/>
          <w:tab w:val="left" w:pos="969" w:leader="none"/>
        </w:tabs>
        <w:spacing w:before="0" w:after="144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rozliczenia projektu, w szczególności potwierdzenia kwalifikowalności wydatków, monitoringu, kontroli, audytu i sprawozdawczości w ramach programu regionalnego Fundusze Europejskie dla Łódzkiego 2021-2027, a także w celach archiwizacyjnych.</w:t>
      </w:r>
    </w:p>
    <w:p>
      <w:pPr>
        <w:pStyle w:val="Normal"/>
        <w:numPr>
          <w:ilvl w:val="0"/>
          <w:numId w:val="24"/>
        </w:numPr>
        <w:tabs>
          <w:tab w:val="clear" w:pos="720"/>
          <w:tab w:val="left" w:pos="969" w:leader="none"/>
        </w:tabs>
        <w:spacing w:lineRule="auto" w:line="276" w:before="0" w:after="120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Podstawą przetwarzania Pani/Pana danych osobowych jest:</w:t>
      </w:r>
    </w:p>
    <w:p>
      <w:pPr>
        <w:pStyle w:val="Normal"/>
        <w:tabs>
          <w:tab w:val="clear" w:pos="720"/>
          <w:tab w:val="left" w:pos="969" w:leader="none"/>
        </w:tabs>
        <w:spacing w:before="0" w:after="120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- art. 6 ust. 1 lit. c i e RODO w związku z:</w:t>
      </w:r>
    </w:p>
    <w:p>
      <w:pPr>
        <w:pStyle w:val="ListParagraph"/>
        <w:numPr>
          <w:ilvl w:val="0"/>
          <w:numId w:val="25"/>
        </w:numPr>
        <w:tabs>
          <w:tab w:val="clear" w:pos="720"/>
          <w:tab w:val="left" w:pos="142" w:leader="none"/>
        </w:tabs>
        <w:spacing w:lineRule="auto" w:line="276" w:before="0" w:after="0"/>
        <w:contextualSpacing w:val="false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Rozporządzeniem Parlamentu Europejskiego i Rady (UE) 2021/1060 z dnia 24 czerwca 2021 r. ustanawiającym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Finansowego na rzecz Zarządzania Granicami i Polityki Wizowej;</w:t>
      </w:r>
    </w:p>
    <w:p>
      <w:pPr>
        <w:pStyle w:val="ListParagraph"/>
        <w:numPr>
          <w:ilvl w:val="0"/>
          <w:numId w:val="25"/>
        </w:numPr>
        <w:tabs>
          <w:tab w:val="clear" w:pos="720"/>
          <w:tab w:val="left" w:pos="142" w:leader="none"/>
        </w:tabs>
        <w:spacing w:lineRule="auto" w:line="276" w:before="0" w:after="0"/>
        <w:contextualSpacing w:val="false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Rozporządzeniem Parlamentu Europejskiego i Rady (UE) 2021/1057 z dnia 24 czerwca 2021 r. ustanawiającym Europejski Fundusz Społeczny Plus (EFS+) oraz uchylające rozporządzenie (UE) nr 1296/2013;</w:t>
      </w:r>
    </w:p>
    <w:p>
      <w:pPr>
        <w:pStyle w:val="ListParagraph"/>
        <w:numPr>
          <w:ilvl w:val="0"/>
          <w:numId w:val="25"/>
        </w:numPr>
        <w:spacing w:lineRule="auto" w:line="276" w:before="0" w:after="0"/>
        <w:contextualSpacing w:val="false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bCs/>
          <w:spacing w:val="-1"/>
          <w:sz w:val="22"/>
          <w:szCs w:val="22"/>
        </w:rPr>
        <w:t>ustawą z dnia 11 września 2019 r. Prawo zamówień publicznych;</w:t>
      </w:r>
    </w:p>
    <w:p>
      <w:pPr>
        <w:pStyle w:val="ListParagraph"/>
        <w:numPr>
          <w:ilvl w:val="0"/>
          <w:numId w:val="25"/>
        </w:numPr>
        <w:tabs>
          <w:tab w:val="clear" w:pos="720"/>
          <w:tab w:val="left" w:pos="142" w:leader="none"/>
        </w:tabs>
        <w:spacing w:lineRule="auto" w:line="276" w:before="0" w:after="0"/>
        <w:contextualSpacing w:val="false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 xml:space="preserve">ustawą z dnia 28 kwietnia 2022 r. o zasadach realizacji zadań finansowanych ze środków europejskich w perspektywie finansowej 2021-2027; </w:t>
      </w:r>
    </w:p>
    <w:p>
      <w:pPr>
        <w:pStyle w:val="ListParagraph"/>
        <w:numPr>
          <w:ilvl w:val="0"/>
          <w:numId w:val="25"/>
        </w:numPr>
        <w:tabs>
          <w:tab w:val="clear" w:pos="720"/>
          <w:tab w:val="left" w:pos="142" w:leader="none"/>
        </w:tabs>
        <w:spacing w:lineRule="auto" w:line="276" w:before="0" w:after="0"/>
        <w:contextualSpacing w:val="false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ustawą z dnia 14 lipca 1983 r. o narodowym zasobie archiwalnym i archiwach.</w:t>
      </w:r>
    </w:p>
    <w:p>
      <w:pPr>
        <w:pStyle w:val="Normal"/>
        <w:tabs>
          <w:tab w:val="clear" w:pos="720"/>
          <w:tab w:val="left" w:pos="969" w:leader="none"/>
        </w:tabs>
        <w:jc w:val="both"/>
        <w:rPr>
          <w:rFonts w:ascii="Arial" w:hAnsi="Arial" w:cs="Arial"/>
          <w:bCs/>
          <w:spacing w:val="-1"/>
          <w:sz w:val="22"/>
          <w:szCs w:val="22"/>
        </w:rPr>
      </w:pPr>
      <w:r>
        <w:rPr>
          <w:rFonts w:cs="Arial" w:ascii="Arial" w:hAnsi="Arial"/>
          <w:bCs/>
          <w:spacing w:val="-1"/>
          <w:sz w:val="22"/>
          <w:szCs w:val="22"/>
        </w:rPr>
      </w:r>
    </w:p>
    <w:p>
      <w:pPr>
        <w:pStyle w:val="ListParagraph"/>
        <w:numPr>
          <w:ilvl w:val="0"/>
          <w:numId w:val="24"/>
        </w:numPr>
        <w:tabs>
          <w:tab w:val="clear" w:pos="720"/>
          <w:tab w:val="left" w:pos="969" w:leader="none"/>
        </w:tabs>
        <w:spacing w:lineRule="auto" w:line="276" w:before="0" w:after="0"/>
        <w:contextualSpacing w:val="false"/>
        <w:jc w:val="both"/>
        <w:rPr>
          <w:rFonts w:ascii="Arial" w:hAnsi="Arial" w:cs="Arial"/>
          <w:bCs/>
          <w:spacing w:val="-1"/>
          <w:sz w:val="22"/>
          <w:szCs w:val="22"/>
        </w:rPr>
      </w:pPr>
      <w:r>
        <w:rPr>
          <w:rFonts w:cs="Arial" w:ascii="Arial" w:hAnsi="Arial"/>
          <w:bCs/>
          <w:spacing w:val="-1"/>
          <w:sz w:val="22"/>
          <w:szCs w:val="22"/>
        </w:rPr>
        <w:t>Przetwarzane dane to:</w:t>
      </w:r>
    </w:p>
    <w:p>
      <w:pPr>
        <w:pStyle w:val="Normal"/>
        <w:tabs>
          <w:tab w:val="clear" w:pos="720"/>
          <w:tab w:val="left" w:pos="969" w:leader="none"/>
        </w:tabs>
        <w:jc w:val="both"/>
        <w:rPr>
          <w:rFonts w:ascii="Arial" w:hAnsi="Arial" w:cs="Arial"/>
          <w:bCs/>
          <w:spacing w:val="-1"/>
          <w:sz w:val="22"/>
          <w:szCs w:val="22"/>
        </w:rPr>
      </w:pPr>
      <w:r>
        <w:rPr>
          <w:rFonts w:cs="Arial" w:ascii="Arial" w:hAnsi="Arial"/>
          <w:bCs/>
          <w:spacing w:val="-1"/>
          <w:sz w:val="22"/>
          <w:szCs w:val="22"/>
        </w:rPr>
        <w:t>Imię i nazwisko/nazwa instytucji, NIP, REGON, data zawarcia umowy, kwota na którą zawarto umowę.</w:t>
      </w:r>
    </w:p>
    <w:p>
      <w:pPr>
        <w:pStyle w:val="ListParagraph"/>
        <w:tabs>
          <w:tab w:val="clear" w:pos="720"/>
          <w:tab w:val="left" w:pos="969" w:leader="none"/>
        </w:tabs>
        <w:spacing w:lineRule="auto" w:line="276"/>
        <w:ind w:start="360"/>
        <w:jc w:val="both"/>
        <w:rPr>
          <w:rFonts w:ascii="Arial" w:hAnsi="Arial" w:cs="Arial"/>
          <w:bCs/>
          <w:spacing w:val="-1"/>
          <w:sz w:val="22"/>
          <w:szCs w:val="22"/>
        </w:rPr>
      </w:pPr>
      <w:r>
        <w:rPr>
          <w:rFonts w:cs="Arial" w:ascii="Arial" w:hAnsi="Arial"/>
          <w:bCs/>
          <w:spacing w:val="-1"/>
          <w:sz w:val="22"/>
          <w:szCs w:val="22"/>
        </w:rPr>
      </w:r>
    </w:p>
    <w:p>
      <w:pPr>
        <w:pStyle w:val="Normal"/>
        <w:numPr>
          <w:ilvl w:val="0"/>
          <w:numId w:val="24"/>
        </w:numPr>
        <w:tabs>
          <w:tab w:val="clear" w:pos="720"/>
          <w:tab w:val="left" w:pos="969" w:leader="none"/>
        </w:tabs>
        <w:spacing w:lineRule="auto" w:line="276" w:before="0" w:after="200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Źródłem Pani/Pana danych jest: Beneficjent.</w:t>
      </w:r>
    </w:p>
    <w:p>
      <w:pPr>
        <w:pStyle w:val="Normal"/>
        <w:numPr>
          <w:ilvl w:val="0"/>
          <w:numId w:val="24"/>
        </w:numPr>
        <w:tabs>
          <w:tab w:val="clear" w:pos="720"/>
          <w:tab w:val="left" w:pos="969" w:leader="none"/>
        </w:tabs>
        <w:spacing w:lineRule="auto" w:line="276" w:before="0" w:after="200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Odbiorcami/kategoriami odbiorców Pani/Pana danych osobowych będą:</w:t>
      </w:r>
    </w:p>
    <w:p>
      <w:pPr>
        <w:pStyle w:val="Normal"/>
        <w:tabs>
          <w:tab w:val="clear" w:pos="720"/>
          <w:tab w:val="left" w:pos="969" w:leader="none"/>
        </w:tabs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- Minister właściwy ds. rozwoju regionalnego</w:t>
      </w:r>
    </w:p>
    <w:p>
      <w:pPr>
        <w:pStyle w:val="Normal"/>
        <w:tabs>
          <w:tab w:val="clear" w:pos="720"/>
          <w:tab w:val="left" w:pos="969" w:leader="none"/>
        </w:tabs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- podmioty, które na zlecenie Beneficjenta uczestniczą w realizacji Projektu</w:t>
      </w:r>
    </w:p>
    <w:p>
      <w:pPr>
        <w:pStyle w:val="Normal"/>
        <w:tabs>
          <w:tab w:val="clear" w:pos="720"/>
          <w:tab w:val="left" w:pos="969" w:leader="none"/>
        </w:tabs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- użytkownicy stron internetowych dotyczących zamówień publicznych.</w:t>
      </w:r>
    </w:p>
    <w:p>
      <w:pPr>
        <w:pStyle w:val="Normal"/>
        <w:tabs>
          <w:tab w:val="clear" w:pos="720"/>
          <w:tab w:val="left" w:pos="969" w:leader="none"/>
        </w:tabs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</w:r>
    </w:p>
    <w:p>
      <w:pPr>
        <w:pStyle w:val="Normal"/>
        <w:numPr>
          <w:ilvl w:val="0"/>
          <w:numId w:val="24"/>
        </w:numPr>
        <w:tabs>
          <w:tab w:val="clear" w:pos="720"/>
          <w:tab w:val="left" w:pos="969" w:leader="none"/>
        </w:tabs>
        <w:spacing w:lineRule="auto" w:line="276" w:before="0" w:after="200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Dane będą przechowywane przez okres:</w:t>
      </w:r>
    </w:p>
    <w:p>
      <w:pPr>
        <w:pStyle w:val="Normal"/>
        <w:tabs>
          <w:tab w:val="clear" w:pos="720"/>
          <w:tab w:val="left" w:pos="969" w:leader="none"/>
        </w:tabs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 xml:space="preserve">5 lat od dnia 31 grudnia roku, w którym Instytucja Zarządzająca dokonała ostatniej płatności na rzecz Beneficjenta. Okres, o którym mowa w zdaniu pierwszym, zostaje wstrzymany </w:t>
        <w:br/>
        <w:t>w przypadku wszczęcia postępowania prawnego albo na wniosek Komisji Europejskiej. Dokumenty dotyczące pomocy publicznej udzielanej przedsiębiorcom Beneficjent zobowiązuje się przechowywać przez 10 lat, licząc od dnia jej przyznania, o ile Projekt dotyczy pomocy publicznej.</w:t>
      </w:r>
    </w:p>
    <w:p>
      <w:pPr>
        <w:pStyle w:val="Normal"/>
        <w:numPr>
          <w:ilvl w:val="0"/>
          <w:numId w:val="24"/>
        </w:numPr>
        <w:tabs>
          <w:tab w:val="clear" w:pos="720"/>
          <w:tab w:val="left" w:pos="969" w:leader="none"/>
        </w:tabs>
        <w:spacing w:lineRule="auto" w:line="276" w:before="0" w:after="200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Posiada Pani/Pan prawo do:</w:t>
      </w:r>
    </w:p>
    <w:p>
      <w:pPr>
        <w:pStyle w:val="Normal"/>
        <w:numPr>
          <w:ilvl w:val="0"/>
          <w:numId w:val="23"/>
        </w:numPr>
        <w:tabs>
          <w:tab w:val="clear" w:pos="720"/>
          <w:tab w:val="left" w:pos="969" w:leader="none"/>
        </w:tabs>
        <w:spacing w:lineRule="auto" w:line="276"/>
        <w:ind w:hanging="357" w:start="357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dostępu do swoich danych oraz otrzymania ich kopii;</w:t>
      </w:r>
    </w:p>
    <w:p>
      <w:pPr>
        <w:pStyle w:val="Normal"/>
        <w:numPr>
          <w:ilvl w:val="0"/>
          <w:numId w:val="23"/>
        </w:numPr>
        <w:tabs>
          <w:tab w:val="clear" w:pos="720"/>
          <w:tab w:val="left" w:pos="969" w:leader="none"/>
        </w:tabs>
        <w:spacing w:lineRule="auto" w:line="276"/>
        <w:ind w:hanging="357" w:start="357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sprostowania (poprawiania) swoich danych, jeśli są błędne lub nieaktualne;</w:t>
      </w:r>
    </w:p>
    <w:p>
      <w:pPr>
        <w:pStyle w:val="Normal"/>
        <w:numPr>
          <w:ilvl w:val="0"/>
          <w:numId w:val="23"/>
        </w:numPr>
        <w:tabs>
          <w:tab w:val="clear" w:pos="720"/>
          <w:tab w:val="left" w:pos="969" w:leader="none"/>
        </w:tabs>
        <w:spacing w:lineRule="auto" w:line="276"/>
        <w:ind w:hanging="357" w:start="357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usunięcia lub ograniczenia przetwarzania danych osobowych w przypadku wystąpienia przesłanek określonych w art. 17 i 18 RODO;</w:t>
      </w:r>
    </w:p>
    <w:p>
      <w:pPr>
        <w:pStyle w:val="Normal"/>
        <w:numPr>
          <w:ilvl w:val="0"/>
          <w:numId w:val="23"/>
        </w:numPr>
        <w:tabs>
          <w:tab w:val="clear" w:pos="720"/>
          <w:tab w:val="left" w:pos="969" w:leader="none"/>
        </w:tabs>
        <w:spacing w:lineRule="auto" w:line="276"/>
        <w:ind w:hanging="357" w:start="357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 xml:space="preserve">wniesienia sprzeciwu wobec przetwarzania danych w przypadku wystąpienia przesłanek, </w:t>
        <w:br/>
        <w:t xml:space="preserve">o których mowa w art. 21 RODO; </w:t>
      </w:r>
    </w:p>
    <w:p>
      <w:pPr>
        <w:pStyle w:val="Normal"/>
        <w:numPr>
          <w:ilvl w:val="0"/>
          <w:numId w:val="23"/>
        </w:numPr>
        <w:tabs>
          <w:tab w:val="clear" w:pos="720"/>
          <w:tab w:val="left" w:pos="969" w:leader="none"/>
        </w:tabs>
        <w:spacing w:lineRule="auto" w:line="276"/>
        <w:ind w:hanging="357" w:start="357"/>
        <w:jc w:val="both"/>
        <w:rPr>
          <w:rFonts w:ascii="Arial" w:hAnsi="Arial" w:cs="Arial"/>
          <w:spacing w:val="-1"/>
          <w:sz w:val="22"/>
          <w:szCs w:val="22"/>
        </w:rPr>
      </w:pPr>
      <w:r>
        <w:rPr>
          <w:rFonts w:cs="Arial" w:ascii="Arial" w:hAnsi="Arial"/>
          <w:spacing w:val="-1"/>
          <w:sz w:val="22"/>
          <w:szCs w:val="22"/>
        </w:rPr>
        <w:t>wniesienia skargi do Prezesa Urzędu Ochrony Danych Osobowych Adres: Urząd Ochrony Danych Osobowych ul. Stawki 2 00-193 Warszawa.</w:t>
      </w:r>
    </w:p>
    <w:p>
      <w:pPr>
        <w:pStyle w:val="NoSpacing"/>
        <w:jc w:val="end"/>
        <w:rPr>
          <w:rFonts w:ascii="Arial" w:hAnsi="Arial" w:eastAsia="Calibri" w:cs="Arial"/>
          <w:sz w:val="22"/>
          <w:szCs w:val="22"/>
          <w:lang w:eastAsia="en-US"/>
        </w:rPr>
      </w:pPr>
      <w:r>
        <w:rPr>
          <w:rFonts w:eastAsia="Calibri" w:cs="Arial" w:ascii="Arial" w:hAnsi="Arial"/>
          <w:sz w:val="22"/>
          <w:szCs w:val="22"/>
          <w:lang w:eastAsia="en-US"/>
        </w:rPr>
      </w:r>
    </w:p>
    <w:p>
      <w:pPr>
        <w:pStyle w:val="Normal"/>
        <w:spacing w:lineRule="auto" w:line="360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</w:r>
    </w:p>
    <w:p>
      <w:pPr>
        <w:pStyle w:val="Normal"/>
        <w:spacing w:lineRule="auto" w:line="360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</w:r>
    </w:p>
    <w:p>
      <w:pPr>
        <w:pStyle w:val="Normal"/>
        <w:spacing w:lineRule="auto" w:line="360"/>
        <w:rPr>
          <w:rFonts w:ascii="Arial" w:hAnsi="Arial" w:eastAsia="Arial" w:cs="Arial"/>
          <w:b/>
          <w:bCs/>
          <w:color w:val="000000"/>
          <w:sz w:val="22"/>
          <w:szCs w:val="22"/>
        </w:rPr>
      </w:pPr>
      <w:r>
        <w:rPr>
          <w:rFonts w:eastAsia="Arial" w:cs="Arial" w:ascii="Arial" w:hAnsi="Arial"/>
          <w:b/>
          <w:bCs/>
          <w:color w:val="000000"/>
          <w:sz w:val="22"/>
          <w:szCs w:val="22"/>
        </w:rPr>
        <w:t>ZAŁĄCZNIKI:</w:t>
      </w:r>
    </w:p>
    <w:p>
      <w:pPr>
        <w:pStyle w:val="Normal"/>
        <w:numPr>
          <w:ilvl w:val="0"/>
          <w:numId w:val="4"/>
        </w:numPr>
        <w:pBdr/>
        <w:tabs>
          <w:tab w:val="clear" w:pos="720"/>
          <w:tab w:val="left" w:pos="1843" w:leader="none"/>
        </w:tabs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Załącznik nr 1 –  Szczegółowy opis przedmiotu zamówienia</w:t>
      </w:r>
    </w:p>
    <w:p>
      <w:pPr>
        <w:pStyle w:val="Normal"/>
        <w:numPr>
          <w:ilvl w:val="0"/>
          <w:numId w:val="4"/>
        </w:numPr>
        <w:pBdr/>
        <w:tabs>
          <w:tab w:val="clear" w:pos="720"/>
          <w:tab w:val="left" w:pos="1843" w:leader="none"/>
        </w:tabs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Załącznik nr 2 – Formularz ofertowy.</w:t>
      </w:r>
    </w:p>
    <w:p>
      <w:pPr>
        <w:pStyle w:val="Normal"/>
        <w:numPr>
          <w:ilvl w:val="0"/>
          <w:numId w:val="4"/>
        </w:numPr>
        <w:pBdr/>
        <w:tabs>
          <w:tab w:val="clear" w:pos="720"/>
          <w:tab w:val="left" w:pos="1843" w:leader="none"/>
        </w:tabs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Załącznik nr 3 – Wzór umowy</w:t>
      </w:r>
    </w:p>
    <w:p>
      <w:pPr>
        <w:pStyle w:val="Normal"/>
        <w:numPr>
          <w:ilvl w:val="0"/>
          <w:numId w:val="4"/>
        </w:numPr>
        <w:pBdr/>
        <w:tabs>
          <w:tab w:val="clear" w:pos="720"/>
          <w:tab w:val="left" w:pos="1843" w:leader="none"/>
        </w:tabs>
        <w:spacing w:lineRule="auto" w:line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  <w:t>Załącznik nr 4 – Wykaz dostaw</w:t>
      </w:r>
    </w:p>
    <w:p>
      <w:pPr>
        <w:pStyle w:val="Normal"/>
        <w:pBdr/>
        <w:tabs>
          <w:tab w:val="clear" w:pos="720"/>
          <w:tab w:val="left" w:pos="1843" w:leader="none"/>
        </w:tabs>
        <w:spacing w:lineRule="auto" w:line="360"/>
        <w:ind w:start="360"/>
        <w:jc w:val="both"/>
        <w:rPr>
          <w:rFonts w:ascii="Arial" w:hAnsi="Arial" w:eastAsia="Arial" w:cs="Arial"/>
          <w:color w:val="000000"/>
          <w:sz w:val="22"/>
          <w:szCs w:val="22"/>
        </w:rPr>
      </w:pPr>
      <w:r>
        <w:rPr>
          <w:rFonts w:eastAsia="Arial" w:cs="Arial" w:ascii="Arial" w:hAnsi="Arial"/>
          <w:color w:val="000000"/>
          <w:sz w:val="22"/>
          <w:szCs w:val="22"/>
        </w:rPr>
      </w:r>
    </w:p>
    <w:sectPr>
      <w:headerReference w:type="even" r:id="rId8"/>
      <w:headerReference w:type="default" r:id="rId9"/>
      <w:headerReference w:type="first" r:id="rId10"/>
      <w:footerReference w:type="even" r:id="rId11"/>
      <w:footerReference w:type="default" r:id="rId12"/>
      <w:footerReference w:type="first" r:id="rId13"/>
      <w:type w:val="nextPage"/>
      <w:pgSz w:w="11906" w:h="16838"/>
      <w:pgMar w:left="1417" w:right="1417" w:gutter="0" w:header="708" w:top="765" w:footer="708" w:bottom="1417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 w:characterSet="windows-1252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ee" w:characterSet="windows-125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Times New Roman">
    <w:charset w:val="ee" w:characterSet="windows-125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Calibri">
    <w:charset w:val="ee" w:characterSet="windows-1250"/>
    <w:family w:val="swiss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  <w:font w:name="Arial">
    <w:charset w:val="ee" w:characterSet="windows-125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Tahoma">
    <w:charset w:val="ee" w:characterSet="windows-1250"/>
    <w:family w:val="swiss"/>
    <w:pitch w:val="variable"/>
    <w:embedRegular r:id="rId18" w:fontKey="{12014A78-CABC-4EF0-12AC-5CD89AEFDE12}"/>
    <w:embedBold r:id="rId19" w:fontKey="{13014A78-CABC-4EF0-12AC-5CD89AEFDE13}"/>
  </w:font>
  <w:font w:name="Calibri Light">
    <w:charset w:val="ee" w:characterSet="windows-1250"/>
    <w:family w:val="roman"/>
    <w:pitch w:val="variable"/>
  </w:font>
  <w:font w:name="Liberation Sans">
    <w:altName w:val="Arial"/>
    <w:charset w:val="ee" w:characterSet="windows-1250"/>
    <w:family w:val="swiss"/>
    <w:pitch w:val="variable"/>
    <w:embedRegular r:id="rId20" w:fontKey="{14014A78-CABC-4EF0-12AC-5CD89AEFDE14}"/>
    <w:embedBold r:id="rId21" w:fontKey="{15014A78-CABC-4EF0-12AC-5CD89AEFDE15}"/>
    <w:embedItalic r:id="rId22" w:fontKey="{16014A78-CABC-4EF0-12AC-5CD89AEFDE16}"/>
    <w:embedBoldItalic r:id="rId23" w:fontKey="{17014A78-CABC-4EF0-12AC-5CD89AEFDE17}"/>
  </w:font>
  <w:font w:name="Georgia">
    <w:charset w:val="ee" w:characterSet="windows-1250"/>
    <w:family w:val="roman"/>
    <w:pitch w:val="variable"/>
    <w:embedRegular r:id="rId24" w:fontKey="{18014A78-CABC-4EF0-12AC-5CD89AEFDE18}"/>
    <w:embedBold r:id="rId25" w:fontKey="{19014A78-CABC-4EF0-12AC-5CD89AEFDE19}"/>
    <w:embedItalic r:id="rId26" w:fontKey="{1A014A78-CABC-4EF0-12AC-5CD89AEFDE1A}"/>
    <w:embedBoldItalic r:id="rId27" w:fontKey="{1B014A78-CABC-4EF0-12AC-5CD89AEFDE1B}"/>
  </w:font>
  <w:font w:name="Arial">
    <w:charset w:val="01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Times New Roman"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Noto Sans Symbols">
    <w:charset w:val="01"/>
    <w:family w:val="swiss"/>
    <w:pitch w:val="default"/>
  </w:font>
  <w:font w:name="Courier New">
    <w:charset w:val="01"/>
    <w:family w:val="modern"/>
    <w:pitch w:val="fixed"/>
    <w:embedRegular r:id="rId28" w:fontKey="{1C014A78-CABC-4EF0-12AC-5CD89AEFDE1C}"/>
    <w:embedBold r:id="rId29" w:fontKey="{1D014A78-CABC-4EF0-12AC-5CD89AEFDE1D}"/>
    <w:embedItalic r:id="rId30" w:fontKey="{1E014A78-CABC-4EF0-12AC-5CD89AEFDE1E}"/>
    <w:embedBoldItalic r:id="rId31" w:fontKey="{1F014A78-CABC-4EF0-12AC-5CD89AEFDE1F}"/>
  </w:font>
  <w:font w:name="Wingdings">
    <w:charset w:val="02"/>
    <w:family w:val="auto"/>
    <w:pitch w:val="variable"/>
    <w:embedRegular r:id="rId32" w:fontKey="{20014A78-CABC-4EF0-12AC-5CD89AEFDE20}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tabs>
        <w:tab w:val="clear" w:pos="720"/>
        <w:tab w:val="center" w:pos="4536" w:leader="none"/>
        <w:tab w:val="right" w:pos="9072" w:leader="none"/>
      </w:tabs>
      <w:jc w:val="end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 xml:space="preserve"> PAGE </w:instrText>
    </w:r>
    <w:r>
      <w:rPr>
        <w:color w:val="000000"/>
      </w:rPr>
      <w:fldChar w:fldCharType="separate"/>
    </w:r>
    <w:r>
      <w:rPr>
        <w:color w:val="000000"/>
      </w:rPr>
      <w:t>9</w:t>
    </w:r>
    <w:r>
      <w:rPr>
        <w:color w:val="000000"/>
      </w:rPr>
      <w:fldChar w:fldCharType="end"/>
    </w:r>
  </w:p>
  <w:p>
    <w:pPr>
      <w:pStyle w:val="Normal"/>
      <w:pBdr/>
      <w:tabs>
        <w:tab w:val="clear" w:pos="720"/>
        <w:tab w:val="center" w:pos="4536" w:leader="none"/>
        <w:tab w:val="right" w:pos="9072" w:leader="none"/>
      </w:tabs>
      <w:jc w:val="end"/>
      <w:rPr>
        <w:rFonts w:ascii="Calibri" w:hAnsi="Calibri" w:eastAsia="Calibri" w:cs="Calibri"/>
        <w:color w:val="000000"/>
        <w:sz w:val="28"/>
        <w:szCs w:val="28"/>
      </w:rPr>
    </w:pPr>
    <w:r>
      <w:rPr>
        <w:rFonts w:eastAsia="Calibri" w:cs="Calibri" w:ascii="Calibri" w:hAnsi="Calibri"/>
        <w:color w:val="000000"/>
        <w:sz w:val="28"/>
        <w:szCs w:val="28"/>
      </w:rPr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tabs>
        <w:tab w:val="clear" w:pos="720"/>
        <w:tab w:val="center" w:pos="4536" w:leader="none"/>
        <w:tab w:val="right" w:pos="9072" w:leader="none"/>
      </w:tabs>
      <w:jc w:val="end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 xml:space="preserve"> PAGE </w:instrText>
    </w:r>
    <w:r>
      <w:rPr>
        <w:color w:val="000000"/>
      </w:rPr>
      <w:fldChar w:fldCharType="separate"/>
    </w:r>
    <w:r>
      <w:rPr>
        <w:color w:val="000000"/>
      </w:rPr>
      <w:t>9</w:t>
    </w:r>
    <w:r>
      <w:rPr>
        <w:color w:val="000000"/>
      </w:rPr>
      <w:fldChar w:fldCharType="end"/>
    </w:r>
  </w:p>
  <w:p>
    <w:pPr>
      <w:pStyle w:val="Normal"/>
      <w:pBdr/>
      <w:tabs>
        <w:tab w:val="clear" w:pos="720"/>
        <w:tab w:val="center" w:pos="4536" w:leader="none"/>
        <w:tab w:val="right" w:pos="9072" w:leader="none"/>
      </w:tabs>
      <w:jc w:val="end"/>
      <w:rPr>
        <w:rFonts w:ascii="Calibri" w:hAnsi="Calibri" w:eastAsia="Calibri" w:cs="Calibri"/>
        <w:color w:val="000000"/>
        <w:sz w:val="28"/>
        <w:szCs w:val="28"/>
      </w:rPr>
    </w:pPr>
    <w:r>
      <w:rPr>
        <w:rFonts w:eastAsia="Calibri" w:cs="Calibri" w:ascii="Calibri" w:hAnsi="Calibri"/>
        <w:color w:val="000000"/>
        <w:sz w:val="28"/>
        <w:szCs w:val="28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tabs>
        <w:tab w:val="clear" w:pos="720"/>
        <w:tab w:val="center" w:pos="4536" w:leader="none"/>
        <w:tab w:val="right" w:pos="9072" w:leader="none"/>
      </w:tabs>
      <w:rPr>
        <w:color w:val="000000"/>
      </w:rPr>
    </w:pPr>
    <w:r>
      <w:rPr/>
      <w:drawing>
        <wp:inline distT="0" distB="0" distL="0" distR="0">
          <wp:extent cx="5760720" cy="638810"/>
          <wp:effectExtent l="0" t="0" r="0" b="0"/>
          <wp:docPr id="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6388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tabs>
        <w:tab w:val="clear" w:pos="720"/>
        <w:tab w:val="center" w:pos="4536" w:leader="none"/>
        <w:tab w:val="right" w:pos="9072" w:leader="none"/>
      </w:tabs>
      <w:rPr>
        <w:color w:val="000000"/>
      </w:rPr>
    </w:pPr>
    <w:r>
      <w:rPr/>
      <w:drawing>
        <wp:inline distT="0" distB="0" distL="0" distR="0">
          <wp:extent cx="5760720" cy="638810"/>
          <wp:effectExtent l="0" t="0" r="0" b="0"/>
          <wp:docPr id="2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6388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)"/>
      <w:lvlJc w:val="start"/>
      <w:pPr>
        <w:tabs>
          <w:tab w:val="num" w:pos="0"/>
        </w:tabs>
        <w:ind w:start="1440" w:hanging="360"/>
      </w:pPr>
      <w:rPr>
        <w:u w:val="none"/>
      </w:rPr>
    </w:lvl>
    <w:lvl w:ilvl="1">
      <w:start w:val="1"/>
      <w:numFmt w:val="lowerLetter"/>
      <w:lvlText w:val="%2)"/>
      <w:lvlJc w:val="start"/>
      <w:pPr>
        <w:tabs>
          <w:tab w:val="num" w:pos="0"/>
        </w:tabs>
        <w:ind w:start="2160" w:hanging="360"/>
      </w:pPr>
      <w:rPr>
        <w:u w:val="none"/>
      </w:rPr>
    </w:lvl>
    <w:lvl w:ilvl="2">
      <w:start w:val="1"/>
      <w:numFmt w:val="lowerRoman"/>
      <w:lvlText w:val="%3)"/>
      <w:lvlJc w:val="end"/>
      <w:pPr>
        <w:tabs>
          <w:tab w:val="num" w:pos="0"/>
        </w:tabs>
        <w:ind w:start="2880" w:hanging="360"/>
      </w:pPr>
      <w:rPr>
        <w:u w:val="none"/>
      </w:rPr>
    </w:lvl>
    <w:lvl w:ilvl="3">
      <w:start w:val="1"/>
      <w:numFmt w:val="decimal"/>
      <w:lvlText w:val="(%4)"/>
      <w:lvlJc w:val="start"/>
      <w:pPr>
        <w:tabs>
          <w:tab w:val="num" w:pos="0"/>
        </w:tabs>
        <w:ind w:start="3600" w:hanging="360"/>
      </w:pPr>
      <w:rPr>
        <w:u w:val="none"/>
      </w:rPr>
    </w:lvl>
    <w:lvl w:ilvl="4">
      <w:start w:val="1"/>
      <w:numFmt w:val="lowerLetter"/>
      <w:lvlText w:val="(%5)"/>
      <w:lvlJc w:val="start"/>
      <w:pPr>
        <w:tabs>
          <w:tab w:val="num" w:pos="0"/>
        </w:tabs>
        <w:ind w:start="4320" w:hanging="360"/>
      </w:pPr>
      <w:rPr>
        <w:u w:val="none"/>
      </w:rPr>
    </w:lvl>
    <w:lvl w:ilvl="5">
      <w:start w:val="1"/>
      <w:numFmt w:val="lowerRoman"/>
      <w:lvlText w:val="(%6)"/>
      <w:lvlJc w:val="end"/>
      <w:pPr>
        <w:tabs>
          <w:tab w:val="num" w:pos="0"/>
        </w:tabs>
        <w:ind w:start="5040" w:hanging="360"/>
      </w:pPr>
      <w:rPr>
        <w:u w:val="none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5760" w:hanging="360"/>
      </w:pPr>
      <w:rPr>
        <w:u w:val="none"/>
      </w:rPr>
    </w:lvl>
    <w:lvl w:ilvl="7">
      <w:start w:val="1"/>
      <w:numFmt w:val="lowerLetter"/>
      <w:lvlText w:val="%8."/>
      <w:lvlJc w:val="start"/>
      <w:pPr>
        <w:tabs>
          <w:tab w:val="num" w:pos="0"/>
        </w:tabs>
        <w:ind w:start="6480" w:hanging="360"/>
      </w:pPr>
      <w:rPr>
        <w:u w:val="none"/>
      </w:rPr>
    </w:lvl>
    <w:lvl w:ilvl="8">
      <w:start w:val="1"/>
      <w:numFmt w:val="lowerRoman"/>
      <w:lvlText w:val="%9."/>
      <w:lvlJc w:val="end"/>
      <w:pPr>
        <w:tabs>
          <w:tab w:val="num" w:pos="0"/>
        </w:tabs>
        <w:ind w:start="720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start"/>
      <w:pPr>
        <w:tabs>
          <w:tab w:val="num" w:pos="0"/>
        </w:tabs>
        <w:ind w:start="720" w:hanging="360"/>
      </w:pPr>
      <w:rPr>
        <w:u w:val="none"/>
      </w:rPr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>
        <w:u w:val="none"/>
      </w:rPr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360"/>
      </w:pPr>
      <w:rPr>
        <w:u w:val="none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>
        <w:u w:val="none"/>
      </w:rPr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>
        <w:u w:val="none"/>
      </w:rPr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360"/>
      </w:pPr>
      <w:rPr>
        <w:u w:val="none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>
        <w:u w:val="none"/>
      </w:rPr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>
        <w:u w:val="none"/>
      </w:rPr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start"/>
      <w:pPr>
        <w:tabs>
          <w:tab w:val="num" w:pos="0"/>
        </w:tabs>
        <w:ind w:start="720" w:hanging="360"/>
      </w:pPr>
      <w:rPr/>
    </w:lvl>
    <w:lvl w:ilvl="1">
      <w:start w:val="4"/>
      <w:numFmt w:val="bullet"/>
      <w:lvlText w:val="•"/>
      <w:lvlJc w:val="start"/>
      <w:pPr>
        <w:tabs>
          <w:tab w:val="num" w:pos="0"/>
        </w:tabs>
        <w:ind w:star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4">
    <w:lvl w:ilvl="0">
      <w:start w:val="1"/>
      <w:numFmt w:val="bullet"/>
      <w:lvlText w:val="●"/>
      <w:lvlJc w:val="start"/>
      <w:pPr>
        <w:tabs>
          <w:tab w:val="num" w:pos="0"/>
        </w:tabs>
        <w:ind w:start="720" w:hanging="360"/>
      </w:pPr>
      <w:rPr>
        <w:rFonts w:ascii="Noto Sans Symbols" w:hAnsi="Noto Sans Symbols" w:cs="Noto Sans Symbols" w:hint="default"/>
      </w:rPr>
    </w:lvl>
    <w:lvl w:ilvl="1">
      <w:start w:val="1"/>
      <w:numFmt w:val="bullet"/>
      <w:lvlText w:val="o"/>
      <w:lvlJc w:val="start"/>
      <w:pPr>
        <w:tabs>
          <w:tab w:val="num" w:pos="0"/>
        </w:tabs>
        <w:ind w:star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▪"/>
      <w:lvlJc w:val="start"/>
      <w:pPr>
        <w:tabs>
          <w:tab w:val="num" w:pos="0"/>
        </w:tabs>
        <w:ind w:start="2160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start"/>
      <w:pPr>
        <w:tabs>
          <w:tab w:val="num" w:pos="0"/>
        </w:tabs>
        <w:ind w:start="2880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start"/>
      <w:pPr>
        <w:tabs>
          <w:tab w:val="num" w:pos="0"/>
        </w:tabs>
        <w:ind w:star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start"/>
      <w:pPr>
        <w:tabs>
          <w:tab w:val="num" w:pos="0"/>
        </w:tabs>
        <w:ind w:start="4320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start"/>
      <w:pPr>
        <w:tabs>
          <w:tab w:val="num" w:pos="0"/>
        </w:tabs>
        <w:ind w:start="5040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start"/>
      <w:pPr>
        <w:tabs>
          <w:tab w:val="num" w:pos="0"/>
        </w:tabs>
        <w:ind w:star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start"/>
      <w:pPr>
        <w:tabs>
          <w:tab w:val="num" w:pos="0"/>
        </w:tabs>
        <w:ind w:start="6480" w:hanging="360"/>
      </w:pPr>
      <w:rPr>
        <w:rFonts w:ascii="Noto Sans Symbols" w:hAnsi="Noto Sans Symbols" w:cs="Noto Sans Symbols" w:hint="default"/>
      </w:rPr>
    </w:lvl>
  </w:abstractNum>
  <w:abstractNum w:abstractNumId="5">
    <w:lvl w:ilvl="0">
      <w:start w:val="1"/>
      <w:numFmt w:val="bullet"/>
      <w:lvlText w:val="●"/>
      <w:lvlJc w:val="start"/>
      <w:pPr>
        <w:tabs>
          <w:tab w:val="num" w:pos="0"/>
        </w:tabs>
        <w:ind w:start="720" w:hanging="360"/>
      </w:pPr>
      <w:rPr>
        <w:rFonts w:ascii="Noto Sans Symbols" w:hAnsi="Noto Sans Symbols" w:cs="Noto Sans Symbols" w:hint="default"/>
      </w:rPr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6">
    <w:lvl w:ilvl="0">
      <w:start w:val="1"/>
      <w:numFmt w:val="decimal"/>
      <w:lvlText w:val="%1."/>
      <w:lvlJc w:val="start"/>
      <w:pPr>
        <w:tabs>
          <w:tab w:val="num" w:pos="0"/>
        </w:tabs>
        <w:ind w:start="720" w:hanging="360"/>
      </w:pPr>
      <w:rPr>
        <w:color w:val="000000"/>
        <w:u w:val="none"/>
      </w:rPr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7">
    <w:lvl w:ilvl="0">
      <w:start w:val="1"/>
      <w:numFmt w:val="upperRoman"/>
      <w:lvlText w:val="%1."/>
      <w:lvlJc w:val="end"/>
      <w:pPr>
        <w:tabs>
          <w:tab w:val="num" w:pos="0"/>
        </w:tabs>
        <w:ind w:start="720" w:hanging="360"/>
      </w:pPr>
      <w:rPr/>
    </w:lvl>
    <w:lvl w:ilvl="1">
      <w:start w:val="2"/>
      <w:numFmt w:val="decimal"/>
      <w:lvlText w:val="%1.%2."/>
      <w:lvlJc w:val="start"/>
      <w:pPr>
        <w:tabs>
          <w:tab w:val="num" w:pos="0"/>
        </w:tabs>
        <w:ind w:start="780" w:hanging="420"/>
      </w:pPr>
      <w:rPr/>
    </w:lvl>
    <w:lvl w:ilvl="2">
      <w:start w:val="1"/>
      <w:numFmt w:val="decimal"/>
      <w:lvlText w:val="%1.%2.%3."/>
      <w:lvlJc w:val="start"/>
      <w:pPr>
        <w:tabs>
          <w:tab w:val="num" w:pos="0"/>
        </w:tabs>
        <w:ind w:start="1080" w:hanging="720"/>
      </w:pPr>
      <w:rPr/>
    </w:lvl>
    <w:lvl w:ilvl="3">
      <w:start w:val="1"/>
      <w:numFmt w:val="decimal"/>
      <w:lvlText w:val="%1.%2.%3.%4."/>
      <w:lvlJc w:val="start"/>
      <w:pPr>
        <w:tabs>
          <w:tab w:val="num" w:pos="0"/>
        </w:tabs>
        <w:ind w:start="1080" w:hanging="720"/>
      </w:pPr>
      <w:rPr/>
    </w:lvl>
    <w:lvl w:ilvl="4">
      <w:start w:val="1"/>
      <w:numFmt w:val="decimal"/>
      <w:lvlText w:val="%1.%2.%3.%4.%5."/>
      <w:lvlJc w:val="start"/>
      <w:pPr>
        <w:tabs>
          <w:tab w:val="num" w:pos="0"/>
        </w:tabs>
        <w:ind w:start="1440" w:hanging="1080"/>
      </w:pPr>
      <w:rPr/>
    </w:lvl>
    <w:lvl w:ilvl="5">
      <w:start w:val="1"/>
      <w:numFmt w:val="decimal"/>
      <w:lvlText w:val="%1.%2.%3.%4.%5.%6."/>
      <w:lvlJc w:val="start"/>
      <w:pPr>
        <w:tabs>
          <w:tab w:val="num" w:pos="0"/>
        </w:tabs>
        <w:ind w:start="1440" w:hanging="1080"/>
      </w:pPr>
      <w:rPr/>
    </w:lvl>
    <w:lvl w:ilvl="6">
      <w:start w:val="1"/>
      <w:numFmt w:val="decimal"/>
      <w:lvlText w:val="%1.%2.%3.%4.%5.%6.%7."/>
      <w:lvlJc w:val="start"/>
      <w:pPr>
        <w:tabs>
          <w:tab w:val="num" w:pos="0"/>
        </w:tabs>
        <w:ind w:start="1800" w:hanging="1440"/>
      </w:pPr>
      <w:rPr/>
    </w:lvl>
    <w:lvl w:ilvl="7">
      <w:start w:val="1"/>
      <w:numFmt w:val="decimal"/>
      <w:lvlText w:val="%1.%2.%3.%4.%5.%6.%7.%8."/>
      <w:lvlJc w:val="start"/>
      <w:pPr>
        <w:tabs>
          <w:tab w:val="num" w:pos="0"/>
        </w:tabs>
        <w:ind w:start="1800" w:hanging="1440"/>
      </w:pPr>
      <w:rPr/>
    </w:lvl>
    <w:lvl w:ilvl="8">
      <w:start w:val="1"/>
      <w:numFmt w:val="decimal"/>
      <w:lvlText w:val="%1.%2.%3.%4.%5.%6.%7.%8.%9."/>
      <w:lvlJc w:val="start"/>
      <w:pPr>
        <w:tabs>
          <w:tab w:val="num" w:pos="0"/>
        </w:tabs>
        <w:ind w:start="2160" w:hanging="1800"/>
      </w:pPr>
      <w:rPr/>
    </w:lvl>
  </w:abstractNum>
  <w:abstractNum w:abstractNumId="8">
    <w:lvl w:ilvl="0">
      <w:start w:val="1"/>
      <w:numFmt w:val="decimal"/>
      <w:lvlText w:val="%1."/>
      <w:lvlJc w:val="start"/>
      <w:pPr>
        <w:tabs>
          <w:tab w:val="num" w:pos="0"/>
        </w:tabs>
        <w:ind w:start="720" w:hanging="360"/>
      </w:pPr>
      <w:rPr>
        <w:b w:val="false"/>
        <w:bCs w:val="false"/>
      </w:rPr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9">
    <w:lvl w:ilvl="0">
      <w:start w:val="1"/>
      <w:numFmt w:val="decimal"/>
      <w:lvlText w:val="%1."/>
      <w:lvlJc w:val="start"/>
      <w:pPr>
        <w:tabs>
          <w:tab w:val="num" w:pos="0"/>
        </w:tabs>
        <w:ind w:start="72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10">
    <w:lvl w:ilvl="0">
      <w:start w:val="1"/>
      <w:numFmt w:val="decimal"/>
      <w:lvlText w:val="%1."/>
      <w:lvlJc w:val="start"/>
      <w:pPr>
        <w:tabs>
          <w:tab w:val="num" w:pos="0"/>
        </w:tabs>
        <w:ind w:start="72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11">
    <w:lvl w:ilvl="0">
      <w:start w:val="1"/>
      <w:numFmt w:val="decimal"/>
      <w:lvlText w:val="%1."/>
      <w:lvlJc w:val="start"/>
      <w:pPr>
        <w:tabs>
          <w:tab w:val="num" w:pos="0"/>
        </w:tabs>
        <w:ind w:start="72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12">
    <w:lvl w:ilvl="0">
      <w:start w:val="1"/>
      <w:numFmt w:val="lowerLetter"/>
      <w:lvlText w:val="%1)"/>
      <w:lvlJc w:val="start"/>
      <w:pPr>
        <w:tabs>
          <w:tab w:val="num" w:pos="0"/>
        </w:tabs>
        <w:ind w:start="144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216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88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360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432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504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76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648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7200" w:hanging="180"/>
      </w:pPr>
      <w:rPr/>
    </w:lvl>
  </w:abstractNum>
  <w:abstractNum w:abstractNumId="13">
    <w:lvl w:ilvl="0">
      <w:start w:val="1"/>
      <w:numFmt w:val="decimal"/>
      <w:lvlText w:val="%1."/>
      <w:lvlJc w:val="start"/>
      <w:pPr>
        <w:tabs>
          <w:tab w:val="num" w:pos="0"/>
        </w:tabs>
        <w:ind w:start="786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506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226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946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66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86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106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826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546" w:hanging="180"/>
      </w:pPr>
      <w:rPr/>
    </w:lvl>
  </w:abstractNum>
  <w:abstractNum w:abstractNumId="14">
    <w:lvl w:ilvl="0">
      <w:start w:val="1"/>
      <w:numFmt w:val="lowerLetter"/>
      <w:lvlText w:val="%1."/>
      <w:lvlJc w:val="start"/>
      <w:pPr>
        <w:tabs>
          <w:tab w:val="num" w:pos="0"/>
        </w:tabs>
        <w:ind w:start="72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15">
    <w:lvl w:ilvl="0">
      <w:start w:val="1"/>
      <w:numFmt w:val="decimal"/>
      <w:lvlText w:val="%1."/>
      <w:lvlJc w:val="start"/>
      <w:pPr>
        <w:tabs>
          <w:tab w:val="num" w:pos="0"/>
        </w:tabs>
        <w:ind w:start="72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16">
    <w:lvl w:ilvl="0">
      <w:start w:val="1"/>
      <w:numFmt w:val="decimal"/>
      <w:lvlText w:val="%1."/>
      <w:lvlJc w:val="start"/>
      <w:pPr>
        <w:tabs>
          <w:tab w:val="num" w:pos="0"/>
        </w:tabs>
        <w:ind w:start="72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17">
    <w:lvl w:ilvl="0">
      <w:start w:val="1"/>
      <w:numFmt w:val="decimal"/>
      <w:lvlText w:val="%1."/>
      <w:lvlJc w:val="start"/>
      <w:pPr>
        <w:tabs>
          <w:tab w:val="num" w:pos="0"/>
        </w:tabs>
        <w:ind w:start="72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18">
    <w:lvl w:ilvl="0">
      <w:start w:val="1"/>
      <w:numFmt w:val="bullet"/>
      <w:lvlText w:val="●"/>
      <w:lvlJc w:val="start"/>
      <w:pPr>
        <w:tabs>
          <w:tab w:val="num" w:pos="0"/>
        </w:tabs>
        <w:ind w:start="1080" w:hanging="360"/>
      </w:pPr>
      <w:rPr>
        <w:rFonts w:ascii="Noto Sans Symbols" w:hAnsi="Noto Sans Symbols" w:cs="Noto Sans Symbols" w:hint="default"/>
      </w:rPr>
    </w:lvl>
    <w:lvl w:ilvl="1">
      <w:start w:val="1"/>
      <w:numFmt w:val="bullet"/>
      <w:lvlText w:val="o"/>
      <w:lvlJc w:val="start"/>
      <w:pPr>
        <w:tabs>
          <w:tab w:val="num" w:pos="0"/>
        </w:tabs>
        <w:ind w:star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▪"/>
      <w:lvlJc w:val="start"/>
      <w:pPr>
        <w:tabs>
          <w:tab w:val="num" w:pos="0"/>
        </w:tabs>
        <w:ind w:start="2520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start"/>
      <w:pPr>
        <w:tabs>
          <w:tab w:val="num" w:pos="0"/>
        </w:tabs>
        <w:ind w:start="3240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start"/>
      <w:pPr>
        <w:tabs>
          <w:tab w:val="num" w:pos="0"/>
        </w:tabs>
        <w:ind w:star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start"/>
      <w:pPr>
        <w:tabs>
          <w:tab w:val="num" w:pos="0"/>
        </w:tabs>
        <w:ind w:start="4680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start"/>
      <w:pPr>
        <w:tabs>
          <w:tab w:val="num" w:pos="0"/>
        </w:tabs>
        <w:ind w:start="5400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start"/>
      <w:pPr>
        <w:tabs>
          <w:tab w:val="num" w:pos="0"/>
        </w:tabs>
        <w:ind w:star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start"/>
      <w:pPr>
        <w:tabs>
          <w:tab w:val="num" w:pos="0"/>
        </w:tabs>
        <w:ind w:start="6840" w:hanging="360"/>
      </w:pPr>
      <w:rPr>
        <w:rFonts w:ascii="Noto Sans Symbols" w:hAnsi="Noto Sans Symbols" w:cs="Noto Sans Symbols" w:hint="default"/>
      </w:rPr>
    </w:lvl>
  </w:abstractNum>
  <w:abstractNum w:abstractNumId="19">
    <w:lvl w:ilvl="0">
      <w:start w:val="1"/>
      <w:numFmt w:val="bullet"/>
      <w:lvlText w:val="●"/>
      <w:lvlJc w:val="start"/>
      <w:pPr>
        <w:tabs>
          <w:tab w:val="num" w:pos="0"/>
        </w:tabs>
        <w:ind w:start="1440" w:hanging="360"/>
      </w:pPr>
      <w:rPr>
        <w:rFonts w:ascii="Noto Sans Symbols" w:hAnsi="Noto Sans Symbols" w:cs="Noto Sans Symbols" w:hint="default"/>
      </w:rPr>
    </w:lvl>
    <w:lvl w:ilvl="1">
      <w:start w:val="1"/>
      <w:numFmt w:val="bullet"/>
      <w:lvlText w:val="o"/>
      <w:lvlJc w:val="start"/>
      <w:pPr>
        <w:tabs>
          <w:tab w:val="num" w:pos="0"/>
        </w:tabs>
        <w:ind w:star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▪"/>
      <w:lvlJc w:val="start"/>
      <w:pPr>
        <w:tabs>
          <w:tab w:val="num" w:pos="0"/>
        </w:tabs>
        <w:ind w:start="2880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start"/>
      <w:pPr>
        <w:tabs>
          <w:tab w:val="num" w:pos="0"/>
        </w:tabs>
        <w:ind w:start="3600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start"/>
      <w:pPr>
        <w:tabs>
          <w:tab w:val="num" w:pos="0"/>
        </w:tabs>
        <w:ind w:star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start"/>
      <w:pPr>
        <w:tabs>
          <w:tab w:val="num" w:pos="0"/>
        </w:tabs>
        <w:ind w:start="5040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start"/>
      <w:pPr>
        <w:tabs>
          <w:tab w:val="num" w:pos="0"/>
        </w:tabs>
        <w:ind w:start="5760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start"/>
      <w:pPr>
        <w:tabs>
          <w:tab w:val="num" w:pos="0"/>
        </w:tabs>
        <w:ind w:star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start"/>
      <w:pPr>
        <w:tabs>
          <w:tab w:val="num" w:pos="0"/>
        </w:tabs>
        <w:ind w:start="7200" w:hanging="360"/>
      </w:pPr>
      <w:rPr>
        <w:rFonts w:ascii="Noto Sans Symbols" w:hAnsi="Noto Sans Symbols" w:cs="Noto Sans Symbols" w:hint="default"/>
      </w:rPr>
    </w:lvl>
  </w:abstractNum>
  <w:abstractNum w:abstractNumId="20">
    <w:lvl w:ilvl="0">
      <w:start w:val="1"/>
      <w:numFmt w:val="decimal"/>
      <w:lvlText w:val="%1."/>
      <w:lvlJc w:val="start"/>
      <w:pPr>
        <w:tabs>
          <w:tab w:val="num" w:pos="0"/>
        </w:tabs>
        <w:ind w:start="72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21">
    <w:lvl w:ilvl="0">
      <w:start w:val="1"/>
      <w:numFmt w:val="lowerLetter"/>
      <w:lvlText w:val="%1)"/>
      <w:lvlJc w:val="start"/>
      <w:pPr>
        <w:tabs>
          <w:tab w:val="num" w:pos="0"/>
        </w:tabs>
        <w:ind w:start="1440" w:hanging="360"/>
      </w:pPr>
      <w:rPr>
        <w:u w:val="none"/>
      </w:rPr>
    </w:lvl>
    <w:lvl w:ilvl="1">
      <w:start w:val="1"/>
      <w:numFmt w:val="lowerRoman"/>
      <w:lvlText w:val="%2)"/>
      <w:lvlJc w:val="end"/>
      <w:pPr>
        <w:tabs>
          <w:tab w:val="num" w:pos="0"/>
        </w:tabs>
        <w:ind w:start="2160" w:hanging="360"/>
      </w:pPr>
      <w:rPr>
        <w:u w:val="none"/>
      </w:rPr>
    </w:lvl>
    <w:lvl w:ilvl="2">
      <w:start w:val="1"/>
      <w:numFmt w:val="decimal"/>
      <w:lvlText w:val="%3)"/>
      <w:lvlJc w:val="start"/>
      <w:pPr>
        <w:tabs>
          <w:tab w:val="num" w:pos="0"/>
        </w:tabs>
        <w:ind w:start="2880" w:hanging="360"/>
      </w:pPr>
      <w:rPr>
        <w:u w:val="none"/>
      </w:rPr>
    </w:lvl>
    <w:lvl w:ilvl="3">
      <w:start w:val="1"/>
      <w:numFmt w:val="lowerLetter"/>
      <w:lvlText w:val="(%4)"/>
      <w:lvlJc w:val="start"/>
      <w:pPr>
        <w:tabs>
          <w:tab w:val="num" w:pos="0"/>
        </w:tabs>
        <w:ind w:start="3600" w:hanging="360"/>
      </w:pPr>
      <w:rPr>
        <w:u w:val="none"/>
      </w:rPr>
    </w:lvl>
    <w:lvl w:ilvl="4">
      <w:start w:val="1"/>
      <w:numFmt w:val="lowerRoman"/>
      <w:lvlText w:val="(%5)"/>
      <w:lvlJc w:val="end"/>
      <w:pPr>
        <w:tabs>
          <w:tab w:val="num" w:pos="0"/>
        </w:tabs>
        <w:ind w:start="4320" w:hanging="360"/>
      </w:pPr>
      <w:rPr>
        <w:u w:val="none"/>
      </w:rPr>
    </w:lvl>
    <w:lvl w:ilvl="5">
      <w:start w:val="1"/>
      <w:numFmt w:val="decimal"/>
      <w:lvlText w:val="(%6)"/>
      <w:lvlJc w:val="start"/>
      <w:pPr>
        <w:tabs>
          <w:tab w:val="num" w:pos="0"/>
        </w:tabs>
        <w:ind w:start="5040" w:hanging="360"/>
      </w:pPr>
      <w:rPr>
        <w:u w:val="none"/>
      </w:rPr>
    </w:lvl>
    <w:lvl w:ilvl="6">
      <w:start w:val="1"/>
      <w:numFmt w:val="lowerLetter"/>
      <w:lvlText w:val="%7."/>
      <w:lvlJc w:val="start"/>
      <w:pPr>
        <w:tabs>
          <w:tab w:val="num" w:pos="0"/>
        </w:tabs>
        <w:ind w:start="5760" w:hanging="360"/>
      </w:pPr>
      <w:rPr>
        <w:u w:val="none"/>
      </w:rPr>
    </w:lvl>
    <w:lvl w:ilvl="7">
      <w:start w:val="1"/>
      <w:numFmt w:val="lowerRoman"/>
      <w:lvlText w:val="%8."/>
      <w:lvlJc w:val="end"/>
      <w:pPr>
        <w:tabs>
          <w:tab w:val="num" w:pos="0"/>
        </w:tabs>
        <w:ind w:start="6480" w:hanging="360"/>
      </w:pPr>
      <w:rPr>
        <w:u w:val="none"/>
      </w:rPr>
    </w:lvl>
    <w:lvl w:ilvl="8">
      <w:start w:val="1"/>
      <w:numFmt w:val="decimal"/>
      <w:lvlText w:val="%9."/>
      <w:lvlJc w:val="start"/>
      <w:pPr>
        <w:tabs>
          <w:tab w:val="num" w:pos="0"/>
        </w:tabs>
        <w:ind w:start="7200" w:hanging="360"/>
      </w:pPr>
      <w:rPr>
        <w:u w:val="none"/>
      </w:rPr>
    </w:lvl>
  </w:abstractNum>
  <w:abstractNum w:abstractNumId="22">
    <w:lvl w:ilvl="0">
      <w:start w:val="1"/>
      <w:numFmt w:val="bullet"/>
      <w:lvlText w:val=""/>
      <w:lvlJc w:val="start"/>
      <w:pPr>
        <w:tabs>
          <w:tab w:val="num" w:pos="0"/>
        </w:tabs>
        <w:ind w:start="14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start"/>
      <w:pPr>
        <w:tabs>
          <w:tab w:val="num" w:pos="0"/>
        </w:tabs>
        <w:ind w:star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start"/>
      <w:pPr>
        <w:tabs>
          <w:tab w:val="num" w:pos="0"/>
        </w:tabs>
        <w:ind w:star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start"/>
      <w:pPr>
        <w:tabs>
          <w:tab w:val="num" w:pos="0"/>
        </w:tabs>
        <w:ind w:star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start"/>
      <w:pPr>
        <w:tabs>
          <w:tab w:val="num" w:pos="0"/>
        </w:tabs>
        <w:ind w:star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start"/>
      <w:pPr>
        <w:tabs>
          <w:tab w:val="num" w:pos="0"/>
        </w:tabs>
        <w:ind w:star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start"/>
      <w:pPr>
        <w:tabs>
          <w:tab w:val="num" w:pos="0"/>
        </w:tabs>
        <w:ind w:star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start"/>
      <w:pPr>
        <w:tabs>
          <w:tab w:val="num" w:pos="0"/>
        </w:tabs>
        <w:ind w:star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start"/>
      <w:pPr>
        <w:tabs>
          <w:tab w:val="num" w:pos="0"/>
        </w:tabs>
        <w:ind w:start="7200" w:hanging="360"/>
      </w:pPr>
      <w:rPr>
        <w:rFonts w:ascii="Wingdings" w:hAnsi="Wingdings" w:cs="Wingdings" w:hint="default"/>
      </w:rPr>
    </w:lvl>
  </w:abstractNum>
  <w:abstractNum w:abstractNumId="23">
    <w:lvl w:ilvl="0">
      <w:start w:val="1"/>
      <w:numFmt w:val="bullet"/>
      <w:lvlText w:val=""/>
      <w:lvlJc w:val="start"/>
      <w:pPr>
        <w:tabs>
          <w:tab w:val="num" w:pos="0"/>
        </w:tabs>
        <w:ind w:start="108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start"/>
      <w:pPr>
        <w:tabs>
          <w:tab w:val="num" w:pos="0"/>
        </w:tabs>
        <w:ind w:star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start"/>
      <w:pPr>
        <w:tabs>
          <w:tab w:val="num" w:pos="0"/>
        </w:tabs>
        <w:ind w:start="252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start"/>
      <w:pPr>
        <w:tabs>
          <w:tab w:val="num" w:pos="0"/>
        </w:tabs>
        <w:ind w:start="324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start"/>
      <w:pPr>
        <w:tabs>
          <w:tab w:val="num" w:pos="0"/>
        </w:tabs>
        <w:ind w:star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start"/>
      <w:pPr>
        <w:tabs>
          <w:tab w:val="num" w:pos="0"/>
        </w:tabs>
        <w:ind w:start="46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start"/>
      <w:pPr>
        <w:tabs>
          <w:tab w:val="num" w:pos="0"/>
        </w:tabs>
        <w:ind w:start="54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start"/>
      <w:pPr>
        <w:tabs>
          <w:tab w:val="num" w:pos="0"/>
        </w:tabs>
        <w:ind w:star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start"/>
      <w:pPr>
        <w:tabs>
          <w:tab w:val="num" w:pos="0"/>
        </w:tabs>
        <w:ind w:start="6840" w:hanging="360"/>
      </w:pPr>
      <w:rPr>
        <w:rFonts w:ascii="Wingdings" w:hAnsi="Wingdings" w:cs="Wingdings" w:hint="default"/>
      </w:rPr>
    </w:lvl>
  </w:abstractNum>
  <w:abstractNum w:abstractNumId="24">
    <w:lvl w:ilvl="0">
      <w:start w:val="4"/>
      <w:numFmt w:val="decimal"/>
      <w:lvlText w:val="%1."/>
      <w:lvlJc w:val="start"/>
      <w:pPr>
        <w:tabs>
          <w:tab w:val="num" w:pos="360"/>
        </w:tabs>
        <w:ind w:start="360" w:hanging="360"/>
      </w:pPr>
      <w:rPr/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40" w:hanging="360"/>
      </w:pPr>
      <w:rPr/>
    </w:lvl>
    <w:lvl w:ilvl="2">
      <w:start w:val="1"/>
      <w:numFmt w:val="lowerRoman"/>
      <w:lvlText w:val="%3."/>
      <w:lvlJc w:val="end"/>
      <w:pPr>
        <w:tabs>
          <w:tab w:val="num" w:pos="0"/>
        </w:tabs>
        <w:ind w:start="2160" w:hanging="180"/>
      </w:pPr>
      <w:rPr/>
    </w:lvl>
    <w:lvl w:ilvl="3">
      <w:start w:val="1"/>
      <w:numFmt w:val="decimal"/>
      <w:lvlText w:val="%4."/>
      <w:lvlJc w:val="start"/>
      <w:pPr>
        <w:tabs>
          <w:tab w:val="num" w:pos="0"/>
        </w:tabs>
        <w:ind w:start="2880" w:hanging="360"/>
      </w:pPr>
      <w:rPr/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600" w:hanging="360"/>
      </w:pPr>
      <w:rPr/>
    </w:lvl>
    <w:lvl w:ilvl="5">
      <w:start w:val="1"/>
      <w:numFmt w:val="lowerRoman"/>
      <w:lvlText w:val="%6."/>
      <w:lvlJc w:val="end"/>
      <w:pPr>
        <w:tabs>
          <w:tab w:val="num" w:pos="0"/>
        </w:tabs>
        <w:ind w:start="4320" w:hanging="180"/>
      </w:pPr>
      <w:rPr/>
    </w:lvl>
    <w:lvl w:ilvl="6">
      <w:start w:val="1"/>
      <w:numFmt w:val="decimal"/>
      <w:lvlText w:val="%7."/>
      <w:lvlJc w:val="start"/>
      <w:pPr>
        <w:tabs>
          <w:tab w:val="num" w:pos="0"/>
        </w:tabs>
        <w:ind w:start="5040" w:hanging="360"/>
      </w:pPr>
      <w:rPr/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760" w:hanging="360"/>
      </w:pPr>
      <w:rPr/>
    </w:lvl>
    <w:lvl w:ilvl="8">
      <w:start w:val="1"/>
      <w:numFmt w:val="lowerRoman"/>
      <w:lvlText w:val="%9."/>
      <w:lvlJc w:val="end"/>
      <w:pPr>
        <w:tabs>
          <w:tab w:val="num" w:pos="0"/>
        </w:tabs>
        <w:ind w:start="6480" w:hanging="180"/>
      </w:pPr>
      <w:rPr/>
    </w:lvl>
  </w:abstractNum>
  <w:abstractNum w:abstractNumId="25">
    <w:lvl w:ilvl="0">
      <w:start w:val="1"/>
      <w:numFmt w:val="bullet"/>
      <w:lvlText w:val=""/>
      <w:lvlJc w:val="start"/>
      <w:pPr>
        <w:tabs>
          <w:tab w:val="num" w:pos="0"/>
        </w:tabs>
        <w:ind w:star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start"/>
      <w:pPr>
        <w:tabs>
          <w:tab w:val="num" w:pos="0"/>
        </w:tabs>
        <w:ind w:star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start"/>
      <w:pPr>
        <w:tabs>
          <w:tab w:val="num" w:pos="0"/>
        </w:tabs>
        <w:ind w:star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start"/>
      <w:pPr>
        <w:tabs>
          <w:tab w:val="num" w:pos="0"/>
        </w:tabs>
        <w:ind w:star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start"/>
      <w:pPr>
        <w:tabs>
          <w:tab w:val="num" w:pos="0"/>
        </w:tabs>
        <w:ind w:star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start"/>
      <w:pPr>
        <w:tabs>
          <w:tab w:val="num" w:pos="0"/>
        </w:tabs>
        <w:ind w:star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start"/>
      <w:pPr>
        <w:tabs>
          <w:tab w:val="num" w:pos="0"/>
        </w:tabs>
        <w:ind w:star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start"/>
      <w:pPr>
        <w:tabs>
          <w:tab w:val="num" w:pos="0"/>
        </w:tabs>
        <w:ind w:star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start"/>
      <w:pPr>
        <w:tabs>
          <w:tab w:val="num" w:pos="0"/>
        </w:tabs>
        <w:ind w:start="6480" w:hanging="360"/>
      </w:pPr>
      <w:rPr>
        <w:rFonts w:ascii="Wingdings" w:hAnsi="Wingdings" w:cs="Wingdings" w:hint="default"/>
      </w:rPr>
    </w:lvl>
  </w:abstractNum>
  <w:abstractNum w:abstractNumId="26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</w:numbering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hyphenationZone w:val="0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pl-PL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sz w:val="24"/>
        <w:szCs w:val="24"/>
        <w:lang w:val="pl-PL" w:eastAsia="pl-PL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Heading1">
    <w:name w:val="heading 1"/>
    <w:basedOn w:val="Normal"/>
    <w:next w:val="Normal"/>
    <w:uiPriority w:val="9"/>
    <w:qFormat/>
    <w:pPr>
      <w:keepNext w:val="true"/>
      <w:keepLines/>
      <w:spacing w:before="240" w:after="0"/>
      <w:outlineLvl w:val="0"/>
    </w:pPr>
    <w:rPr>
      <w:rFonts w:ascii="Calibri" w:hAnsi="Calibri" w:eastAsia="Calibri" w:cs="Calibri"/>
      <w:color w:val="2E75B5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 w:val="true"/>
      <w:spacing w:lineRule="auto" w:line="276" w:before="120" w:after="120"/>
      <w:jc w:val="both"/>
      <w:outlineLvl w:val="1"/>
    </w:pPr>
    <w:rPr>
      <w:rFonts w:ascii="Arial" w:hAnsi="Arial" w:eastAsia="Arial" w:cs="Arial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 w:val="true"/>
      <w:keepLines/>
      <w:spacing w:before="40" w:after="0"/>
      <w:outlineLvl w:val="2"/>
    </w:pPr>
    <w:rPr>
      <w:rFonts w:ascii="Calibri" w:hAnsi="Calibri" w:eastAsia="Calibri" w:cs="Calibri"/>
      <w:color w:val="1E4D7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 w:val="true"/>
      <w:keepLines/>
      <w:spacing w:before="40" w:after="0"/>
      <w:outlineLvl w:val="3"/>
    </w:pPr>
    <w:rPr>
      <w:rFonts w:ascii="Calibri" w:hAnsi="Calibri" w:eastAsia="Calibri" w:cs="Calibri"/>
      <w:i/>
      <w:iCs/>
      <w:color w:val="2E75B5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 w:val="true"/>
      <w:keepLines/>
      <w:spacing w:before="40" w:after="0"/>
      <w:outlineLvl w:val="4"/>
    </w:pPr>
    <w:rPr>
      <w:rFonts w:ascii="Calibri" w:hAnsi="Calibri" w:eastAsia="Calibri" w:cs="Calibri"/>
      <w:color w:val="2E75B5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 w:val="true"/>
      <w:keepLines/>
      <w:spacing w:before="200" w:after="40"/>
      <w:outlineLvl w:val="5"/>
    </w:pPr>
    <w:rPr>
      <w:b/>
      <w:bCs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ekstdymkaZnak" w:customStyle="1">
    <w:name w:val="Tekst dymka Znak"/>
    <w:link w:val="BalloonText"/>
    <w:uiPriority w:val="99"/>
    <w:semiHidden/>
    <w:qFormat/>
    <w:rsid w:val="00cd75fd"/>
    <w:rPr>
      <w:rFonts w:ascii="Tahoma" w:hAnsi="Tahoma" w:eastAsia="Times New Roman" w:cs="Tahoma"/>
      <w:sz w:val="16"/>
      <w:szCs w:val="16"/>
      <w:lang w:eastAsia="pl-PL"/>
    </w:rPr>
  </w:style>
  <w:style w:type="character" w:styleId="Hyperlink">
    <w:name w:val="Hyperlink"/>
    <w:unhideWhenUsed/>
    <w:rsid w:val="00bb77d4"/>
    <w:rPr>
      <w:color w:val="0000FF"/>
      <w:u w:val="single"/>
    </w:rPr>
  </w:style>
  <w:style w:type="character" w:styleId="CommentReference">
    <w:name w:val="annotation reference"/>
    <w:uiPriority w:val="99"/>
    <w:semiHidden/>
    <w:unhideWhenUsed/>
    <w:qFormat/>
    <w:rsid w:val="00e109b7"/>
    <w:rPr>
      <w:sz w:val="16"/>
      <w:szCs w:val="16"/>
    </w:rPr>
  </w:style>
  <w:style w:type="character" w:styleId="TekstkomentarzaZnak" w:customStyle="1">
    <w:name w:val="Tekst komentarza Znak"/>
    <w:link w:val="CommentText"/>
    <w:uiPriority w:val="99"/>
    <w:semiHidden/>
    <w:qFormat/>
    <w:rsid w:val="00e109b7"/>
    <w:rPr>
      <w:rFonts w:ascii="Times New Roman" w:hAnsi="Times New Roman" w:eastAsia="Times New Roman" w:cs="Times New Roman"/>
      <w:sz w:val="20"/>
      <w:szCs w:val="20"/>
      <w:lang w:eastAsia="pl-PL"/>
    </w:rPr>
  </w:style>
  <w:style w:type="character" w:styleId="TematkomentarzaZnak" w:customStyle="1">
    <w:name w:val="Temat komentarza Znak"/>
    <w:link w:val="annotationsubject"/>
    <w:uiPriority w:val="99"/>
    <w:semiHidden/>
    <w:qFormat/>
    <w:rsid w:val="00e109b7"/>
    <w:rPr>
      <w:rFonts w:ascii="Times New Roman" w:hAnsi="Times New Roman" w:eastAsia="Times New Roman" w:cs="Times New Roman"/>
      <w:b/>
      <w:bCs/>
      <w:sz w:val="20"/>
      <w:szCs w:val="20"/>
      <w:lang w:eastAsia="pl-PL"/>
    </w:rPr>
  </w:style>
  <w:style w:type="character" w:styleId="TekstpodstawowyZnak" w:customStyle="1">
    <w:name w:val="Tekst podstawowy Znak"/>
    <w:semiHidden/>
    <w:qFormat/>
    <w:rsid w:val="00fa224b"/>
    <w:rPr>
      <w:rFonts w:ascii="Times New Roman" w:hAnsi="Times New Roman" w:eastAsia="Times New Roman" w:cs="Times New Roman"/>
      <w:sz w:val="24"/>
      <w:szCs w:val="20"/>
      <w:lang w:val="x-none" w:eastAsia="pl-PL"/>
    </w:rPr>
  </w:style>
  <w:style w:type="character" w:styleId="Strong">
    <w:name w:val="Strong"/>
    <w:uiPriority w:val="22"/>
    <w:qFormat/>
    <w:rsid w:val="00fa224b"/>
    <w:rPr>
      <w:b/>
      <w:bCs/>
    </w:rPr>
  </w:style>
  <w:style w:type="character" w:styleId="Nagwek2Znak" w:customStyle="1">
    <w:name w:val="Nagłówek 2 Znak"/>
    <w:qFormat/>
    <w:rsid w:val="001b1b68"/>
    <w:rPr>
      <w:rFonts w:ascii="Arial" w:hAnsi="Arial" w:eastAsia="Calibri" w:cs="Arial"/>
      <w:b/>
      <w:bCs/>
      <w:sz w:val="20"/>
      <w:szCs w:val="20"/>
    </w:rPr>
  </w:style>
  <w:style w:type="character" w:styleId="TekstprzypisudolnegoZnak" w:customStyle="1">
    <w:name w:val="Tekst przypisu dolnego Znak"/>
    <w:qFormat/>
    <w:rsid w:val="001b1b68"/>
    <w:rPr>
      <w:rFonts w:ascii="Calibri" w:hAnsi="Calibri" w:eastAsia="Calibri" w:cs="Times New Roman"/>
      <w:sz w:val="20"/>
      <w:szCs w:val="20"/>
    </w:rPr>
  </w:style>
  <w:style w:type="character" w:styleId="Nagwek1Znak" w:customStyle="1">
    <w:name w:val="Nagłówek 1 Znak"/>
    <w:basedOn w:val="DefaultParagraphFont"/>
    <w:uiPriority w:val="9"/>
    <w:qFormat/>
    <w:rsid w:val="00e54069"/>
    <w:rPr>
      <w:rFonts w:ascii="Calibri Light" w:hAnsi="Calibri Light" w:eastAsia="" w:cs="" w:asciiTheme="majorHAnsi" w:cstheme="majorBidi" w:eastAsiaTheme="majorEastAsia" w:hAnsiTheme="majorHAnsi"/>
      <w:color w:themeColor="accent1" w:themeShade="bf" w:val="2E74B5"/>
      <w:sz w:val="32"/>
      <w:szCs w:val="32"/>
    </w:rPr>
  </w:style>
  <w:style w:type="character" w:styleId="Nagwek3Znak" w:customStyle="1">
    <w:name w:val="Nagłówek 3 Znak"/>
    <w:basedOn w:val="DefaultParagraphFont"/>
    <w:uiPriority w:val="9"/>
    <w:qFormat/>
    <w:rsid w:val="00e54069"/>
    <w:rPr>
      <w:rFonts w:ascii="Calibri Light" w:hAnsi="Calibri Light" w:eastAsia="" w:cs="" w:asciiTheme="majorHAnsi" w:cstheme="majorBidi" w:eastAsiaTheme="majorEastAsia" w:hAnsiTheme="majorHAnsi"/>
      <w:color w:themeColor="accent1" w:themeShade="7f" w:val="1F4D78"/>
      <w:sz w:val="24"/>
      <w:szCs w:val="24"/>
    </w:rPr>
  </w:style>
  <w:style w:type="character" w:styleId="Nagwek4Znak" w:customStyle="1">
    <w:name w:val="Nagłówek 4 Znak"/>
    <w:basedOn w:val="DefaultParagraphFont"/>
    <w:uiPriority w:val="9"/>
    <w:qFormat/>
    <w:rsid w:val="00e54069"/>
    <w:rPr>
      <w:rFonts w:ascii="Calibri Light" w:hAnsi="Calibri Light" w:eastAsia="" w:cs="" w:asciiTheme="majorHAnsi" w:cstheme="majorBidi" w:eastAsiaTheme="majorEastAsia" w:hAnsiTheme="majorHAnsi"/>
      <w:i/>
      <w:iCs/>
      <w:color w:themeColor="accent1" w:themeShade="bf" w:val="2E74B5"/>
      <w:sz w:val="24"/>
      <w:szCs w:val="24"/>
    </w:rPr>
  </w:style>
  <w:style w:type="character" w:styleId="Nagwek5Znak" w:customStyle="1">
    <w:name w:val="Nagłówek 5 Znak"/>
    <w:basedOn w:val="DefaultParagraphFont"/>
    <w:uiPriority w:val="9"/>
    <w:qFormat/>
    <w:rsid w:val="00e54069"/>
    <w:rPr>
      <w:rFonts w:ascii="Calibri Light" w:hAnsi="Calibri Light" w:eastAsia="" w:cs="" w:asciiTheme="majorHAnsi" w:cstheme="majorBidi" w:eastAsiaTheme="majorEastAsia" w:hAnsiTheme="majorHAnsi"/>
      <w:color w:themeColor="accent1" w:themeShade="bf" w:val="2E74B5"/>
      <w:sz w:val="24"/>
      <w:szCs w:val="24"/>
    </w:rPr>
  </w:style>
  <w:style w:type="character" w:styleId="TytuZnak" w:customStyle="1">
    <w:name w:val="Tytuł Znak"/>
    <w:basedOn w:val="DefaultParagraphFont"/>
    <w:uiPriority w:val="10"/>
    <w:qFormat/>
    <w:rsid w:val="00e54069"/>
    <w:rPr>
      <w:rFonts w:ascii="Calibri Light" w:hAnsi="Calibri Light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character" w:styleId="TekstpodstawowywcityZnak" w:customStyle="1">
    <w:name w:val="Tekst podstawowy wcięty Znak"/>
    <w:basedOn w:val="DefaultParagraphFont"/>
    <w:uiPriority w:val="99"/>
    <w:semiHidden/>
    <w:qFormat/>
    <w:rsid w:val="00e54069"/>
    <w:rPr>
      <w:rFonts w:ascii="Times New Roman" w:hAnsi="Times New Roman" w:eastAsia="Times New Roman"/>
      <w:sz w:val="24"/>
      <w:szCs w:val="24"/>
    </w:rPr>
  </w:style>
  <w:style w:type="character" w:styleId="Tekstpodstawowyzwciciem2Znak" w:customStyle="1">
    <w:name w:val="Tekst podstawowy z wcięciem 2 Znak"/>
    <w:basedOn w:val="TekstpodstawowywcityZnak"/>
    <w:link w:val="BodyTextFirstIndent2"/>
    <w:uiPriority w:val="99"/>
    <w:qFormat/>
    <w:rsid w:val="00e54069"/>
    <w:rPr>
      <w:rFonts w:ascii="Times New Roman" w:hAnsi="Times New Roman" w:eastAsia="Times New Roman"/>
      <w:sz w:val="24"/>
      <w:szCs w:val="24"/>
    </w:rPr>
  </w:style>
  <w:style w:type="character" w:styleId="NagwekZnak" w:customStyle="1">
    <w:name w:val="Nagłówek Znak"/>
    <w:basedOn w:val="DefaultParagraphFont"/>
    <w:uiPriority w:val="99"/>
    <w:qFormat/>
    <w:rsid w:val="00ca50d5"/>
    <w:rPr>
      <w:rFonts w:ascii="Times New Roman" w:hAnsi="Times New Roman" w:eastAsia="Times New Roman"/>
      <w:sz w:val="24"/>
      <w:szCs w:val="24"/>
    </w:rPr>
  </w:style>
  <w:style w:type="character" w:styleId="StopkaZnak" w:customStyle="1">
    <w:name w:val="Stopka Znak"/>
    <w:basedOn w:val="DefaultParagraphFont"/>
    <w:uiPriority w:val="99"/>
    <w:qFormat/>
    <w:rsid w:val="00ca50d5"/>
    <w:rPr>
      <w:rFonts w:ascii="Times New Roman" w:hAnsi="Times New Roman" w:eastAsia="Times New Roman"/>
      <w:sz w:val="24"/>
      <w:szCs w:val="24"/>
    </w:rPr>
  </w:style>
  <w:style w:type="character" w:styleId="Nierozpoznanawzmianka1" w:customStyle="1">
    <w:name w:val="Nierozpoznana wzmianka1"/>
    <w:basedOn w:val="DefaultParagraphFont"/>
    <w:uiPriority w:val="99"/>
    <w:semiHidden/>
    <w:unhideWhenUsed/>
    <w:qFormat/>
    <w:rsid w:val="003906d4"/>
    <w:rPr>
      <w:color w:val="605E5C"/>
      <w:shd w:fill="E1DFDD" w:val="clear"/>
    </w:rPr>
  </w:style>
  <w:style w:type="character" w:styleId="Teksttreci" w:customStyle="1">
    <w:name w:val="Tekst treści_"/>
    <w:basedOn w:val="DefaultParagraphFont"/>
    <w:link w:val="Teksttreci1"/>
    <w:qFormat/>
    <w:rsid w:val="00424ae4"/>
    <w:rPr>
      <w:rFonts w:cs="Calibri"/>
      <w:sz w:val="21"/>
      <w:szCs w:val="21"/>
      <w:shd w:fill="FFFFFF" w:val="clear"/>
    </w:rPr>
  </w:style>
  <w:style w:type="character" w:styleId="Nierozpoznanawzmianka2" w:customStyle="1">
    <w:name w:val="Nierozpoznana wzmianka2"/>
    <w:basedOn w:val="DefaultParagraphFont"/>
    <w:uiPriority w:val="99"/>
    <w:semiHidden/>
    <w:unhideWhenUsed/>
    <w:qFormat/>
    <w:rsid w:val="00e57834"/>
    <w:rPr>
      <w:color w:val="605E5C"/>
      <w:shd w:fill="E1DFDD" w:val="clear"/>
    </w:rPr>
  </w:style>
  <w:style w:type="character" w:styleId="markedcontent" w:customStyle="1">
    <w:name w:val="markedcontent"/>
    <w:basedOn w:val="DefaultParagraphFont"/>
    <w:qFormat/>
    <w:rsid w:val="008b7cda"/>
    <w:rPr/>
  </w:style>
  <w:style w:type="character" w:styleId="UnresolvedMention">
    <w:name w:val="Unresolved Mention"/>
    <w:basedOn w:val="DefaultParagraphFont"/>
    <w:uiPriority w:val="99"/>
    <w:semiHidden/>
    <w:unhideWhenUsed/>
    <w:qFormat/>
    <w:rsid w:val="001620c4"/>
    <w:rPr>
      <w:color w:val="605E5C"/>
      <w:shd w:fill="E1DFDD" w:val="clear"/>
    </w:rPr>
  </w:style>
  <w:style w:type="character" w:styleId="t286pc" w:customStyle="1">
    <w:name w:val="t286pc"/>
    <w:basedOn w:val="DefaultParagraphFont"/>
    <w:qFormat/>
    <w:rsid w:val="00461e67"/>
    <w:rPr/>
  </w:style>
  <w:style w:type="character" w:styleId="AkapitzlistZnak" w:customStyle="1">
    <w:name w:val="Akapit z listą Znak"/>
    <w:link w:val="ListParagraph"/>
    <w:uiPriority w:val="34"/>
    <w:qFormat/>
    <w:locked/>
    <w:rsid w:val="00915e5a"/>
    <w:rPr/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link w:val="TekstpodstawowyZnak"/>
    <w:semiHidden/>
    <w:rsid w:val="00fa224b"/>
    <w:pPr>
      <w:widowControl/>
      <w:bidi w:val="0"/>
      <w:spacing w:before="0" w:after="120"/>
      <w:jc w:val="both"/>
    </w:pPr>
    <w:rPr>
      <w:rFonts w:ascii="Times New Roman" w:hAnsi="Times New Roman" w:eastAsia="Times New Roman" w:cs="Times New Roman"/>
      <w:color w:val="auto"/>
      <w:kern w:val="0"/>
      <w:sz w:val="24"/>
      <w:szCs w:val="20"/>
      <w:lang w:val="x-none" w:eastAsia="pl-PL" w:bidi="ar-SA"/>
    </w:rPr>
  </w:style>
  <w:style w:type="paragraph" w:styleId="List">
    <w:name w:val="List"/>
    <w:uiPriority w:val="99"/>
    <w:unhideWhenUsed/>
    <w:rsid w:val="00e54069"/>
    <w:pPr>
      <w:widowControl/>
      <w:bidi w:val="0"/>
      <w:spacing w:before="0" w:after="0"/>
      <w:ind w:hanging="283" w:start="283"/>
      <w:contextualSpacing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Title">
    <w:name w:val="Title"/>
    <w:basedOn w:val="Normal"/>
    <w:next w:val="Normal"/>
    <w:uiPriority w:val="10"/>
    <w:qFormat/>
    <w:pPr/>
    <w:rPr>
      <w:rFonts w:ascii="Calibri" w:hAnsi="Calibri" w:eastAsia="Calibri" w:cs="Calibri"/>
      <w:sz w:val="56"/>
      <w:szCs w:val="56"/>
    </w:rPr>
  </w:style>
  <w:style w:type="paragraph" w:styleId="BalloonText">
    <w:name w:val="Balloon Text"/>
    <w:link w:val="TekstdymkaZnak"/>
    <w:uiPriority w:val="99"/>
    <w:semiHidden/>
    <w:unhideWhenUsed/>
    <w:qFormat/>
    <w:rsid w:val="00cd75fd"/>
    <w:pPr>
      <w:widowControl/>
      <w:bidi w:val="0"/>
      <w:spacing w:before="0" w:after="0"/>
      <w:jc w:val="start"/>
    </w:pPr>
    <w:rPr>
      <w:rFonts w:ascii="Tahoma" w:hAnsi="Tahoma" w:eastAsia="Times New Roman" w:cs="Times New Roman"/>
      <w:color w:val="auto"/>
      <w:kern w:val="0"/>
      <w:sz w:val="16"/>
      <w:szCs w:val="16"/>
      <w:lang w:val="x-none" w:eastAsia="pl-PL" w:bidi="ar-SA"/>
    </w:rPr>
  </w:style>
  <w:style w:type="paragraph" w:styleId="CommentText">
    <w:name w:val="annotation text"/>
    <w:link w:val="TekstkomentarzaZnak"/>
    <w:uiPriority w:val="99"/>
    <w:semiHidden/>
    <w:unhideWhenUsed/>
    <w:rsid w:val="00e109b7"/>
    <w:pPr>
      <w:widowControl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0"/>
      <w:szCs w:val="20"/>
      <w:lang w:val="x-none" w:eastAsia="pl-PL" w:bidi="ar-SA"/>
    </w:rPr>
  </w:style>
  <w:style w:type="paragraph" w:styleId="annotationsubject">
    <w:name w:val="annotation subject"/>
    <w:basedOn w:val="CommentText"/>
    <w:next w:val="CommentText"/>
    <w:link w:val="TematkomentarzaZnak"/>
    <w:uiPriority w:val="99"/>
    <w:semiHidden/>
    <w:unhideWhenUsed/>
    <w:qFormat/>
    <w:rsid w:val="00e109b7"/>
    <w:pPr/>
    <w:rPr>
      <w:b/>
      <w:bCs/>
    </w:rPr>
  </w:style>
  <w:style w:type="paragraph" w:styleId="FootnoteText">
    <w:name w:val="footnote text"/>
    <w:link w:val="TekstprzypisudolnegoZnak"/>
    <w:unhideWhenUsed/>
    <w:rsid w:val="001b1b68"/>
    <w:pPr>
      <w:widowControl/>
      <w:bidi w:val="0"/>
      <w:spacing w:lineRule="auto" w:line="276" w:before="0" w:after="200"/>
      <w:jc w:val="start"/>
    </w:pPr>
    <w:rPr>
      <w:rFonts w:ascii="Calibri" w:hAnsi="Calibri" w:eastAsia="Calibri" w:cs="Times New Roman"/>
      <w:color w:val="auto"/>
      <w:kern w:val="0"/>
      <w:sz w:val="20"/>
      <w:szCs w:val="20"/>
      <w:lang w:val="x-none" w:eastAsia="x-none" w:bidi="ar-SA"/>
    </w:rPr>
  </w:style>
  <w:style w:type="paragraph" w:styleId="ListParagraph">
    <w:name w:val="List Paragraph"/>
    <w:link w:val="AkapitzlistZnak"/>
    <w:uiPriority w:val="34"/>
    <w:qFormat/>
    <w:rsid w:val="00fc1ace"/>
    <w:pPr>
      <w:widowControl/>
      <w:bidi w:val="0"/>
      <w:spacing w:before="0" w:after="0"/>
      <w:ind w:start="720"/>
      <w:contextualSpacing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Default" w:customStyle="1">
    <w:name w:val="Default"/>
    <w:qFormat/>
    <w:rsid w:val="008551f9"/>
    <w:pPr>
      <w:widowControl/>
      <w:bidi w:val="0"/>
      <w:spacing w:before="0" w:after="0"/>
      <w:jc w:val="start"/>
    </w:pPr>
    <w:rPr>
      <w:rFonts w:cs="Calibri" w:ascii="Times New Roman" w:hAnsi="Times New Roman" w:eastAsia="Times New Roman"/>
      <w:color w:val="000000"/>
      <w:kern w:val="0"/>
      <w:sz w:val="24"/>
      <w:szCs w:val="24"/>
      <w:lang w:val="pl-PL" w:eastAsia="pl-PL" w:bidi="ar-SA"/>
    </w:rPr>
  </w:style>
  <w:style w:type="paragraph" w:styleId="List2">
    <w:name w:val="List 2"/>
    <w:uiPriority w:val="99"/>
    <w:unhideWhenUsed/>
    <w:qFormat/>
    <w:rsid w:val="00e54069"/>
    <w:pPr>
      <w:widowControl/>
      <w:bidi w:val="0"/>
      <w:spacing w:before="0" w:after="0"/>
      <w:ind w:hanging="283" w:start="566"/>
      <w:contextualSpacing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ListBullet">
    <w:name w:val="List Bullet"/>
    <w:uiPriority w:val="99"/>
    <w:unhideWhenUsed/>
    <w:rsid w:val="00e54069"/>
    <w:pPr>
      <w:widowControl/>
      <w:numPr>
        <w:ilvl w:val="0"/>
        <w:numId w:val="3"/>
      </w:numPr>
      <w:bidi w:val="0"/>
      <w:spacing w:before="0" w:after="0"/>
      <w:contextualSpacing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ListContinue">
    <w:name w:val="List Continue"/>
    <w:uiPriority w:val="99"/>
    <w:unhideWhenUsed/>
    <w:rsid w:val="00e54069"/>
    <w:pPr>
      <w:widowControl/>
      <w:bidi w:val="0"/>
      <w:spacing w:before="0" w:after="120"/>
      <w:ind w:start="283"/>
      <w:contextualSpacing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BodyTextIndent">
    <w:name w:val="Body Text Indent"/>
    <w:link w:val="TekstpodstawowywcityZnak"/>
    <w:uiPriority w:val="99"/>
    <w:semiHidden/>
    <w:unhideWhenUsed/>
    <w:rsid w:val="00e54069"/>
    <w:pPr>
      <w:widowControl/>
      <w:bidi w:val="0"/>
      <w:spacing w:before="0" w:after="120"/>
      <w:ind w:start="283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BodyTextFirstIndent2">
    <w:name w:val="Body Text First Indent 2"/>
    <w:basedOn w:val="BodyTextIndent"/>
    <w:link w:val="Tekstpodstawowyzwciciem2Znak"/>
    <w:uiPriority w:val="99"/>
    <w:unhideWhenUsed/>
    <w:qFormat/>
    <w:rsid w:val="00e54069"/>
    <w:pPr>
      <w:spacing w:before="0" w:after="0"/>
      <w:ind w:firstLine="360" w:start="360"/>
    </w:pPr>
    <w:rPr/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link w:val="NagwekZnak"/>
    <w:uiPriority w:val="99"/>
    <w:unhideWhenUsed/>
    <w:rsid w:val="00ca50d5"/>
    <w:pPr>
      <w:widowControl/>
      <w:tabs>
        <w:tab w:val="clear" w:pos="720"/>
        <w:tab w:val="center" w:pos="4536" w:leader="none"/>
        <w:tab w:val="right" w:pos="9072" w:leader="none"/>
      </w:tabs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Footer">
    <w:name w:val="footer"/>
    <w:link w:val="StopkaZnak"/>
    <w:uiPriority w:val="99"/>
    <w:unhideWhenUsed/>
    <w:rsid w:val="00ca50d5"/>
    <w:pPr>
      <w:widowControl/>
      <w:tabs>
        <w:tab w:val="clear" w:pos="720"/>
        <w:tab w:val="center" w:pos="4536" w:leader="none"/>
        <w:tab w:val="right" w:pos="9072" w:leader="none"/>
      </w:tabs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western" w:customStyle="1">
    <w:name w:val="western"/>
    <w:qFormat/>
    <w:rsid w:val="00cb56b6"/>
    <w:pPr>
      <w:widowControl/>
      <w:bidi w:val="0"/>
      <w:spacing w:beforeAutospacing="1" w:after="119"/>
      <w:jc w:val="both"/>
    </w:pPr>
    <w:rPr>
      <w:rFonts w:ascii="Arial" w:hAnsi="Arial" w:cs="Arial" w:eastAsia="Times New Roman"/>
      <w:color w:val="auto"/>
      <w:kern w:val="0"/>
      <w:sz w:val="24"/>
      <w:szCs w:val="24"/>
      <w:lang w:val="pl-PL" w:eastAsia="pl-PL" w:bidi="ar-SA"/>
    </w:rPr>
  </w:style>
  <w:style w:type="paragraph" w:styleId="Teksttreci1" w:customStyle="1">
    <w:name w:val="Tekst treści"/>
    <w:link w:val="Teksttreci"/>
    <w:qFormat/>
    <w:rsid w:val="00424ae4"/>
    <w:pPr>
      <w:widowControl w:val="false"/>
      <w:shd w:val="clear" w:color="auto" w:fill="FFFFFF"/>
      <w:bidi w:val="0"/>
      <w:spacing w:lineRule="exact" w:line="335" w:before="0" w:after="0"/>
      <w:ind w:hanging="360"/>
      <w:jc w:val="start"/>
    </w:pPr>
    <w:rPr>
      <w:rFonts w:ascii="Calibri" w:hAnsi="Calibri" w:eastAsia="Calibri" w:cs="Calibri"/>
      <w:color w:val="auto"/>
      <w:kern w:val="0"/>
      <w:sz w:val="21"/>
      <w:szCs w:val="21"/>
      <w:lang w:val="pl-PL" w:eastAsia="pl-PL" w:bidi="ar-SA"/>
    </w:rPr>
  </w:style>
  <w:style w:type="paragraph" w:styleId="Subtitle">
    <w:name w:val="Subtitle"/>
    <w:basedOn w:val="Normal"/>
    <w:next w:val="Normal"/>
    <w:uiPriority w:val="11"/>
    <w:qFormat/>
    <w:pPr>
      <w:keepNext w:val="true"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NoSpacing">
    <w:name w:val="No Spacing"/>
    <w:uiPriority w:val="1"/>
    <w:qFormat/>
    <w:rsid w:val="00915e5a"/>
    <w:pPr>
      <w:widowControl/>
      <w:suppressAutoHyphens w:val="true"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0"/>
      <w:szCs w:val="20"/>
      <w:lang w:val="pl-PL" w:eastAsia="pl-PL" w:bidi="ar-SA"/>
    </w:rPr>
  </w:style>
  <w:style w:type="numbering" w:styleId="Bezlisty" w:default="1">
    <w:name w:val="Bez listy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ela-Siatka">
    <w:name w:val="Table Grid"/>
    <w:basedOn w:val="Standardowy"/>
    <w:uiPriority w:val="59"/>
    <w:rsid w:val="00ac4331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s://bazakonkurencyjnosci.funduszeeuropejskie.gov.pl/" TargetMode="External"/><Relationship Id="rId3" Type="http://schemas.openxmlformats.org/officeDocument/2006/relationships/hyperlink" Target="https://www.gov.pl/web/mswia/lista-osob-i-podmiotow-objetychsankcjami" TargetMode="External"/><Relationship Id="rId4" Type="http://schemas.openxmlformats.org/officeDocument/2006/relationships/hyperlink" Target="http://www.bazakonkurencyjnosci.funduszeeuropejskie.gov.pl/" TargetMode="External"/><Relationship Id="rId5" Type="http://schemas.openxmlformats.org/officeDocument/2006/relationships/hyperlink" Target="mailto:katarzyna.krawczyk@cande.pl" TargetMode="External"/><Relationship Id="rId6" Type="http://schemas.openxmlformats.org/officeDocument/2006/relationships/hyperlink" Target="mailto:info@lodzkie.pl" TargetMode="External"/><Relationship Id="rId7" Type="http://schemas.openxmlformats.org/officeDocument/2006/relationships/hyperlink" Target="mailto:iod@lodzkie.pl" TargetMode="External"/><Relationship Id="rId8" Type="http://schemas.openxmlformats.org/officeDocument/2006/relationships/header" Target="header1.xml"/><Relationship Id="rId9" Type="http://schemas.openxmlformats.org/officeDocument/2006/relationships/header" Target="header2.xml"/><Relationship Id="rId10" Type="http://schemas.openxmlformats.org/officeDocument/2006/relationships/header" Target="header3.xml"/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footer" Target="footer3.xml"/><Relationship Id="rId14" Type="http://schemas.openxmlformats.org/officeDocument/2006/relationships/numbering" Target="numbering.xml"/><Relationship Id="rId15" Type="http://schemas.openxmlformats.org/officeDocument/2006/relationships/fontTable" Target="fontTable.xml"/><Relationship Id="rId16" Type="http://schemas.openxmlformats.org/officeDocument/2006/relationships/settings" Target="settings.xml"/><Relationship Id="rId17" Type="http://schemas.openxmlformats.org/officeDocument/2006/relationships/theme" Target="theme/theme1.xml"/><Relationship Id="rId18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<Relationship Id="rId25" Type="http://schemas.openxmlformats.org/officeDocument/2006/relationships/font" Target="fonts/font25.odttf"/><Relationship Id="rId26" Type="http://schemas.openxmlformats.org/officeDocument/2006/relationships/font" Target="fonts/font26.odttf"/><Relationship Id="rId27" Type="http://schemas.openxmlformats.org/officeDocument/2006/relationships/font" Target="fonts/font27.odttf"/><Relationship Id="rId28" Type="http://schemas.openxmlformats.org/officeDocument/2006/relationships/font" Target="fonts/font28.odttf"/><Relationship Id="rId29" Type="http://schemas.openxmlformats.org/officeDocument/2006/relationships/font" Target="fonts/font29.odttf"/><Relationship Id="rId30" Type="http://schemas.openxmlformats.org/officeDocument/2006/relationships/font" Target="fonts/font30.odttf"/><Relationship Id="rId31" Type="http://schemas.openxmlformats.org/officeDocument/2006/relationships/font" Target="fonts/font31.odttf"/><Relationship Id="rId32" Type="http://schemas.openxmlformats.org/officeDocument/2006/relationships/font" Target="fonts/font32.odtt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xmlns:r="http://schemas.openxmlformats.org/officeDocument/2006/relationships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3F3752-B4C9-4F2F-A9C9-18D139A0B3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Application>LibreOffice/25.8.4.2$Windows_X86_64 LibreOffice_project/290daaa01b999472f0c7a3890eb6a550fd74c6df</Application>
  <AppVersion>15.0000</AppVersion>
  <Pages>9</Pages>
  <Words>2342</Words>
  <Characters>15116</Characters>
  <CharactersWithSpaces>17308</CharactersWithSpaces>
  <Paragraphs>142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2026-01-31T23:40:00Z</dcterms:created>
  <dc:creator>NCP</dc:creator>
  <dc:description/>
  <dc:language>pl-PL</dc:language>
  <cp:lastModifiedBy/>
  <cp:lastPrinted>2026-01-28T13:36:00Z</cp:lastPrinted>
  <dcterms:modified xsi:type="dcterms:W3CDTF">2026-02-02T22:38:26Z</dcterms:modified>
  <cp:revision>3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